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台江区宁化街道</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2020年政府信息公开工作年度报告</w:t>
      </w:r>
    </w:p>
    <w:p>
      <w:pPr>
        <w:spacing w:line="560" w:lineRule="exact"/>
        <w:jc w:val="center"/>
        <w:rPr>
          <w:rFonts w:ascii="仿宋" w:hAnsi="仿宋" w:eastAsia="仿宋" w:cs="Times New Roman"/>
          <w:sz w:val="32"/>
          <w:szCs w:val="32"/>
          <w:lang w:val="zh-CN"/>
        </w:rPr>
      </w:pPr>
      <w:r>
        <w:rPr>
          <w:rFonts w:hint="eastAsia" w:ascii="仿宋" w:hAnsi="仿宋" w:eastAsia="仿宋" w:cs="Times New Roman"/>
          <w:sz w:val="32"/>
          <w:szCs w:val="32"/>
          <w:lang w:val="zh-CN"/>
        </w:rPr>
        <w:t>引言</w:t>
      </w:r>
    </w:p>
    <w:p>
      <w:pPr>
        <w:autoSpaceDE w:val="0"/>
        <w:autoSpaceDN w:val="0"/>
        <w:adjustRightInd w:val="0"/>
        <w:ind w:firstLine="640" w:firstLineChars="200"/>
        <w:jc w:val="left"/>
        <w:rPr>
          <w:rFonts w:ascii="仿宋_GB2312" w:hAnsi="Times New Roman" w:eastAsia="仿宋_GB2312" w:cs="仿宋_GB2312"/>
          <w:color w:val="000000"/>
          <w:kern w:val="0"/>
          <w:sz w:val="32"/>
          <w:szCs w:val="32"/>
        </w:rPr>
      </w:pPr>
      <w:r>
        <w:rPr>
          <w:rFonts w:hint="eastAsia" w:ascii="仿宋_GB2312" w:hAnsi="仿宋_GB2312" w:eastAsia="仿宋_GB2312" w:cs="仿宋_GB2312"/>
          <w:sz w:val="32"/>
          <w:szCs w:val="32"/>
        </w:rPr>
        <w:t>根据《中华人民共和国政府信息公开条例》（以下简称新条例）、《国务院办公厅政府信息与政务公开办公室关于政府信息公开工作年度报告有关事项的通知》（国办公开办函〔2019〕60号）的要求和本单位工作实际，</w:t>
      </w:r>
      <w:r>
        <w:rPr>
          <w:rFonts w:hint="eastAsia" w:ascii="仿宋_GB2312" w:hAnsi="仿宋_GB2312" w:eastAsia="仿宋_GB2312" w:cs="仿宋_GB2312"/>
          <w:sz w:val="32"/>
          <w:szCs w:val="32"/>
          <w:lang w:eastAsia="zh-CN"/>
        </w:rPr>
        <w:t>宁化街道</w:t>
      </w:r>
      <w:r>
        <w:rPr>
          <w:rFonts w:hint="eastAsia" w:ascii="仿宋_GB2312" w:hAnsi="仿宋_GB2312" w:eastAsia="仿宋_GB2312" w:cs="仿宋_GB2312"/>
          <w:sz w:val="32"/>
          <w:szCs w:val="32"/>
        </w:rPr>
        <w:t>对全年政府信息公开工作情况进行总结。</w:t>
      </w:r>
      <w:r>
        <w:rPr>
          <w:rFonts w:hint="eastAsia" w:ascii="仿宋_GB2312" w:hAnsi="仿宋_GB2312" w:eastAsia="仿宋_GB2312" w:cs="仿宋_GB2312"/>
          <w:sz w:val="32"/>
          <w:szCs w:val="32"/>
          <w:lang w:val="zh-CN"/>
        </w:rPr>
        <w:t>报告全文由总体情况，主动公开政府信息情况，</w:t>
      </w:r>
      <w:r>
        <w:rPr>
          <w:rFonts w:hint="eastAsia" w:ascii="仿宋_GB2312" w:hAnsi="仿宋_GB2312" w:eastAsia="仿宋_GB2312" w:cs="仿宋_GB2312"/>
          <w:sz w:val="32"/>
          <w:szCs w:val="32"/>
        </w:rPr>
        <w:t>收到和处理政府</w:t>
      </w:r>
      <w:bookmarkStart w:id="0" w:name="_GoBack"/>
      <w:bookmarkEnd w:id="0"/>
      <w:r>
        <w:rPr>
          <w:rFonts w:hint="eastAsia" w:ascii="仿宋_GB2312" w:hAnsi="仿宋_GB2312" w:eastAsia="仿宋_GB2312" w:cs="仿宋_GB2312"/>
          <w:sz w:val="32"/>
          <w:szCs w:val="32"/>
        </w:rPr>
        <w:t>信息公开申请情况，政府信息公开行政复议、行政诉讼情况，存在的主要问题及改进情况，其他需要报告的事项</w:t>
      </w:r>
      <w:r>
        <w:rPr>
          <w:rFonts w:hint="eastAsia" w:ascii="仿宋_GB2312" w:hAnsi="仿宋_GB2312" w:eastAsia="仿宋_GB2312" w:cs="仿宋_GB2312"/>
          <w:sz w:val="32"/>
          <w:szCs w:val="32"/>
          <w:lang w:val="zh-CN"/>
        </w:rPr>
        <w:t>等六个部分组成。本报告中所列数据的统计期限自20</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zh-CN"/>
        </w:rPr>
        <w:t>年1月1日起至20</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zh-CN"/>
        </w:rPr>
        <w:t>年12月31日止。本报告在“福州市台江区人民政府”门户网站（http://</w:t>
      </w:r>
      <w:r>
        <w:rPr>
          <w:rFonts w:hint="eastAsia" w:ascii="仿宋_GB2312" w:hAnsi="仿宋_GB2312" w:eastAsia="仿宋_GB2312" w:cs="仿宋_GB2312"/>
          <w:sz w:val="32"/>
          <w:szCs w:val="32"/>
        </w:rPr>
        <w:t>www.taijiang</w:t>
      </w:r>
      <w:r>
        <w:rPr>
          <w:rFonts w:hint="eastAsia" w:ascii="仿宋_GB2312" w:hAnsi="仿宋_GB2312" w:eastAsia="仿宋_GB2312" w:cs="仿宋_GB2312"/>
          <w:sz w:val="32"/>
          <w:szCs w:val="32"/>
          <w:lang w:val="zh-CN"/>
        </w:rPr>
        <w:t>.gov.cn/）公布，并报送福州市台江区档案馆，欢迎查阅。</w:t>
      </w:r>
      <w:r>
        <w:rPr>
          <w:rFonts w:hint="eastAsia" w:ascii="仿宋" w:hAnsi="仿宋" w:eastAsia="仿宋" w:cs="仿宋"/>
          <w:sz w:val="32"/>
          <w:szCs w:val="32"/>
        </w:rPr>
        <w:t>本报告在“福州市台江区人民政府”门户网站（http://tjq.fuzhou.gov.cn/)公布，并报送福州市台江区档案馆，欢迎查阅。对本报告如有疑问，可与台江区宁化街道办事处联系 (地址：福建省福州市台江区西二环南路33号，邮编：350004，电话：0591-83891321，电子邮箱：tjqnhjd@163.com)。</w:t>
      </w:r>
    </w:p>
    <w:p>
      <w:pPr>
        <w:pStyle w:val="4"/>
        <w:widowControl/>
        <w:shd w:val="clear" w:color="auto" w:fill="FFFFFF"/>
        <w:spacing w:beforeAutospacing="0" w:afterAutospacing="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一、总体情况</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2020年，在区委、区政府的领导下，我街认真贯彻落实新《条例》、《国务院办公厅政府信息与政务公开办公室关于政府信息公开工作年度报告有关事项的通知》（国办公开办函〔2019〕60号）等文件要求，坚持以公开为常态、不公开为例外，遵循公正、公平、合法、便民的原则，有序推进政府信息公开工作。</w:t>
      </w:r>
    </w:p>
    <w:p>
      <w:pPr>
        <w:numPr>
          <w:ilvl w:val="0"/>
          <w:numId w:val="1"/>
        </w:numPr>
        <w:autoSpaceDE w:val="0"/>
        <w:autoSpaceDN w:val="0"/>
        <w:spacing w:before="100" w:line="560" w:lineRule="exact"/>
        <w:ind w:firstLine="640" w:firstLineChars="200"/>
        <w:rPr>
          <w:rFonts w:hint="eastAsia" w:ascii="楷体_GB2312" w:hAnsi="楷体_GB2312" w:eastAsia="楷体_GB2312" w:cs="楷体_GB2312"/>
          <w:color w:val="333333"/>
          <w:spacing w:val="8"/>
          <w:sz w:val="32"/>
          <w:szCs w:val="32"/>
          <w:shd w:val="clear" w:color="auto" w:fill="FFFFFF"/>
        </w:rPr>
      </w:pPr>
      <w:r>
        <w:rPr>
          <w:rFonts w:hint="eastAsia" w:ascii="楷体" w:hAnsi="楷体" w:eastAsia="楷体" w:cs="Times New Roman"/>
          <w:sz w:val="32"/>
          <w:szCs w:val="32"/>
        </w:rPr>
        <w:t>主动公开政府信息的数量</w:t>
      </w:r>
    </w:p>
    <w:p>
      <w:pPr>
        <w:autoSpaceDE w:val="0"/>
        <w:autoSpaceDN w:val="0"/>
        <w:spacing w:before="100" w:line="560" w:lineRule="exact"/>
        <w:ind w:left="672"/>
        <w:rPr>
          <w:rFonts w:ascii="楷体_GB2312" w:hAnsi="楷体_GB2312" w:eastAsia="楷体_GB2312" w:cs="楷体_GB2312"/>
          <w:color w:val="333333"/>
          <w:spacing w:val="8"/>
          <w:sz w:val="32"/>
          <w:szCs w:val="32"/>
          <w:shd w:val="clear" w:color="auto" w:fill="FFFFFF"/>
        </w:rPr>
      </w:pPr>
      <w:r>
        <w:rPr>
          <w:rFonts w:hint="eastAsia" w:ascii="仿宋_GB2312" w:hAnsi="仿宋_GB2312" w:eastAsia="仿宋_GB2312" w:cs="仿宋_GB2312"/>
          <w:sz w:val="32"/>
          <w:szCs w:val="32"/>
        </w:rPr>
        <w:t>2020年我街共公开政府信息17条，历年累计公开261条。</w:t>
      </w:r>
    </w:p>
    <w:p>
      <w:pPr>
        <w:numPr>
          <w:ilvl w:val="0"/>
          <w:numId w:val="1"/>
        </w:numPr>
        <w:autoSpaceDE w:val="0"/>
        <w:autoSpaceDN w:val="0"/>
        <w:spacing w:before="100" w:line="560" w:lineRule="exact"/>
        <w:ind w:firstLine="640" w:firstLineChars="200"/>
        <w:rPr>
          <w:rFonts w:ascii="楷体_GB2312" w:hAnsi="楷体_GB2312" w:eastAsia="楷体_GB2312" w:cs="楷体_GB2312"/>
          <w:color w:val="333333"/>
          <w:spacing w:val="8"/>
          <w:sz w:val="32"/>
          <w:szCs w:val="32"/>
          <w:shd w:val="clear" w:color="auto" w:fill="FFFFFF"/>
        </w:rPr>
      </w:pPr>
      <w:r>
        <w:rPr>
          <w:rFonts w:hint="eastAsia" w:ascii="楷体" w:hAnsi="楷体" w:eastAsia="楷体" w:cs="Times New Roman"/>
          <w:sz w:val="32"/>
          <w:szCs w:val="32"/>
        </w:rPr>
        <w:t>主动公开政府信息的主要类别</w:t>
      </w:r>
    </w:p>
    <w:p>
      <w:pPr>
        <w:spacing w:line="560" w:lineRule="exact"/>
        <w:ind w:firstLine="480" w:firstLineChars="150"/>
        <w:rPr>
          <w:rFonts w:ascii="仿宋" w:hAnsi="仿宋" w:eastAsia="仿宋" w:cs="Times New Roman"/>
          <w:sz w:val="32"/>
          <w:szCs w:val="32"/>
        </w:rPr>
      </w:pPr>
      <w:r>
        <w:rPr>
          <w:rFonts w:hint="eastAsia" w:ascii="仿宋_GB2312" w:hAnsi="仿宋_GB2312" w:eastAsia="仿宋_GB2312" w:cs="仿宋_GB2312"/>
          <w:sz w:val="32"/>
          <w:szCs w:val="32"/>
        </w:rPr>
        <w:t>2020我街在台江区人民政府门户网站上的政府信息公开专栏内公开政府信息的主要类别为业务公文与其他应主动公开的政府信息。其中业务公文3条；其他应主动公开的政府信息14条。</w:t>
      </w:r>
      <w:r>
        <w:rPr>
          <w:rFonts w:hint="eastAsia" w:ascii="仿宋" w:hAnsi="仿宋" w:eastAsia="仿宋" w:cs="Times New Roman"/>
          <w:sz w:val="32"/>
          <w:szCs w:val="32"/>
        </w:rPr>
        <w:t> </w:t>
      </w:r>
    </w:p>
    <w:p>
      <w:pPr>
        <w:numPr>
          <w:ilvl w:val="0"/>
          <w:numId w:val="1"/>
        </w:numPr>
        <w:autoSpaceDE w:val="0"/>
        <w:autoSpaceDN w:val="0"/>
        <w:spacing w:before="100"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主动公开政府信息形式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2020年，我街主要通过“福州市台江区人民政府”门户网站公开政府信息。全年所有主动公开的政府信息文件的电子文档和纸质材料均在文件生成后的20个工作日内移交台江区档案局，方便公众查阅。</w:t>
      </w:r>
    </w:p>
    <w:p>
      <w:pPr>
        <w:pStyle w:val="4"/>
        <w:widowControl/>
        <w:shd w:val="clear" w:color="auto" w:fill="FFFFFF"/>
        <w:spacing w:beforeAutospacing="0" w:afterAutospacing="0" w:line="560" w:lineRule="exact"/>
        <w:ind w:firstLine="420"/>
        <w:jc w:val="both"/>
        <w:rPr>
          <w:rFonts w:ascii="黑体" w:hAnsi="黑体" w:eastAsia="黑体"/>
          <w:kern w:val="2"/>
          <w:sz w:val="32"/>
          <w:szCs w:val="32"/>
        </w:rPr>
      </w:pPr>
      <w:r>
        <w:rPr>
          <w:rFonts w:hint="eastAsia" w:ascii="黑体" w:hAnsi="黑体" w:eastAsia="黑体"/>
          <w:kern w:val="2"/>
          <w:sz w:val="32"/>
          <w:szCs w:val="32"/>
        </w:rPr>
        <w:t>二、主动公开政府信息情况</w:t>
      </w:r>
    </w:p>
    <w:tbl>
      <w:tblPr>
        <w:tblStyle w:val="7"/>
        <w:tblW w:w="8140" w:type="dxa"/>
        <w:jc w:val="center"/>
        <w:tblInd w:w="0" w:type="dxa"/>
        <w:tblLayout w:type="fixed"/>
        <w:tblCellMar>
          <w:top w:w="0" w:type="dxa"/>
          <w:left w:w="0" w:type="dxa"/>
          <w:bottom w:w="0" w:type="dxa"/>
          <w:right w:w="0" w:type="dxa"/>
        </w:tblCellMar>
      </w:tblPr>
      <w:tblGrid>
        <w:gridCol w:w="3113"/>
        <w:gridCol w:w="1869"/>
        <w:gridCol w:w="1277"/>
        <w:gridCol w:w="1881"/>
      </w:tblGrid>
      <w:tr>
        <w:tblPrEx>
          <w:tblLayout w:type="fixed"/>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kern w:val="0"/>
                <w:sz w:val="20"/>
                <w:szCs w:val="20"/>
              </w:rPr>
              <w:t>制作数量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kern w:val="0"/>
                <w:sz w:val="20"/>
                <w:szCs w:val="20"/>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规章</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eastAsia="宋体"/>
              </w:rPr>
            </w:pPr>
            <w:r>
              <w:rPr>
                <w:rFonts w:hint="eastAsia" w:ascii="宋体" w:hAnsi="宋体" w:eastAsia="宋体" w:cs="宋体"/>
                <w:color w:val="000000"/>
                <w:kern w:val="0"/>
                <w:sz w:val="20"/>
                <w:szCs w:val="20"/>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规范性文件</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eastAsia="宋体"/>
              </w:rPr>
            </w:pPr>
            <w:r>
              <w:rPr>
                <w:rFonts w:hint="eastAsia" w:ascii="宋体" w:hAnsi="宋体" w:eastAsia="宋体" w:cs="宋体"/>
                <w:color w:val="000000"/>
                <w:kern w:val="0"/>
                <w:sz w:val="20"/>
                <w:szCs w:val="20"/>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eastAsia="宋体"/>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行政许可</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其他对外管理服务事项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行政处罚</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行政强制</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27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行政事业性收费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3158"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Layout w:type="fixed"/>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信息内容</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采购项目数量</w:t>
            </w:r>
          </w:p>
        </w:tc>
        <w:tc>
          <w:tcPr>
            <w:tcW w:w="3158"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color w:val="000000"/>
                <w:kern w:val="0"/>
                <w:sz w:val="20"/>
                <w:szCs w:val="20"/>
              </w:rPr>
              <w:t>政府集中采购</w:t>
            </w:r>
          </w:p>
        </w:tc>
        <w:tc>
          <w:tcPr>
            <w:tcW w:w="186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eastAsia="宋体"/>
              </w:rPr>
            </w:pPr>
            <w:r>
              <w:rPr>
                <w:rFonts w:hint="eastAsia" w:ascii="宋体"/>
                <w:sz w:val="24"/>
              </w:rPr>
              <w:t>8</w:t>
            </w:r>
          </w:p>
        </w:tc>
        <w:tc>
          <w:tcPr>
            <w:tcW w:w="3158"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jc w:val="center"/>
              <w:rPr>
                <w:rFonts w:ascii="宋体"/>
                <w:sz w:val="24"/>
              </w:rPr>
            </w:pPr>
            <w:r>
              <w:rPr>
                <w:rFonts w:hint="eastAsia" w:ascii="宋体"/>
                <w:sz w:val="24"/>
              </w:rPr>
              <w:t>34105</w:t>
            </w:r>
          </w:p>
        </w:tc>
      </w:tr>
    </w:tbl>
    <w:p>
      <w:pPr>
        <w:pStyle w:val="4"/>
        <w:widowControl/>
        <w:shd w:val="clear" w:color="auto" w:fill="FFFFFF"/>
        <w:spacing w:beforeAutospacing="0" w:after="240" w:afterAutospacing="0"/>
        <w:jc w:val="both"/>
        <w:rPr>
          <w:rFonts w:ascii="宋体" w:hAnsi="宋体" w:eastAsia="宋体" w:cs="宋体"/>
          <w:b/>
          <w:color w:val="333333"/>
          <w:shd w:val="clear" w:color="auto" w:fill="FFFFFF"/>
        </w:rPr>
      </w:pPr>
    </w:p>
    <w:p>
      <w:pPr>
        <w:pStyle w:val="4"/>
        <w:widowControl/>
        <w:shd w:val="clear" w:color="auto" w:fill="FFFFFF"/>
        <w:spacing w:beforeAutospacing="0" w:afterAutospacing="0"/>
        <w:ind w:firstLine="420"/>
        <w:jc w:val="both"/>
        <w:rPr>
          <w:rFonts w:ascii="黑体" w:hAnsi="黑体" w:eastAsia="黑体"/>
          <w:kern w:val="2"/>
          <w:sz w:val="32"/>
          <w:szCs w:val="32"/>
        </w:rPr>
      </w:pPr>
      <w:r>
        <w:rPr>
          <w:rFonts w:hint="eastAsia" w:ascii="黑体" w:hAnsi="黑体" w:eastAsia="黑体"/>
          <w:kern w:val="2"/>
          <w:sz w:val="32"/>
          <w:szCs w:val="32"/>
        </w:rPr>
        <w:t>三、收到和处理政府信息公开申请情况</w:t>
      </w:r>
    </w:p>
    <w:tbl>
      <w:tblPr>
        <w:tblStyle w:val="7"/>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自然人</w:t>
            </w:r>
          </w:p>
        </w:tc>
        <w:tc>
          <w:tcPr>
            <w:tcW w:w="401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科研机构</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社会公益组织</w:t>
            </w:r>
          </w:p>
        </w:tc>
        <w:tc>
          <w:tcPr>
            <w:tcW w:w="97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w:t>
            </w:r>
          </w:p>
        </w:tc>
        <w:tc>
          <w:tcPr>
            <w:tcW w:w="68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97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6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二、上年结转政府信息公开申请数量</w:t>
            </w:r>
          </w:p>
        </w:tc>
        <w:tc>
          <w:tcPr>
            <w:tcW w:w="81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81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974"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12"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689"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三、本年度办理结果</w:t>
            </w: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ascii="楷体" w:hAnsi="楷体" w:eastAsia="楷体" w:cs="楷体"/>
                <w:kern w:val="0"/>
                <w:sz w:val="20"/>
                <w:szCs w:val="20"/>
              </w:rPr>
              <w:t>（一）予以公开</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（三）不予公开</w:t>
            </w: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1.属于国家秘密</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2.其他法律行政法规禁止公开</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3.危及“三安全一稳定”</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4.保护第三方合法权益</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5.属于三类内部事务信息</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6.属于四类过程性信息</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7.属于行政执法案卷</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8.属于行政查询事项</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（四）无法提供</w:t>
            </w: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1.本机关不掌握相关政府信息</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2.没有现成信息需要另行制作</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3.补正后申请内容仍不明确</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（五）不予处理</w:t>
            </w: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1.信访举报投诉类申请</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2.重复申请</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3.要求提供公开出版物</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4.无正当理由大量反复申请</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08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5.要求行政机关确认或重新出具已获取信息</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（六）其他处理</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2940"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pPr>
            <w:r>
              <w:rPr>
                <w:rFonts w:hint="eastAsia" w:ascii="楷体" w:hAnsi="楷体" w:eastAsia="楷体" w:cs="楷体"/>
                <w:kern w:val="0"/>
                <w:sz w:val="20"/>
                <w:szCs w:val="20"/>
              </w:rPr>
              <w:t>（七）总计</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pPr>
            <w:r>
              <w:rPr>
                <w:rFonts w:hint="eastAsia" w:ascii="宋体" w:hAnsi="宋体" w:eastAsia="宋体" w:cs="宋体"/>
                <w:kern w:val="0"/>
                <w:sz w:val="20"/>
                <w:szCs w:val="20"/>
              </w:rPr>
              <w:t>四、结转下年度继续办理</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ascii="Calibri" w:hAnsi="Calibri" w:cs="Calibri"/>
                <w:kern w:val="0"/>
                <w:sz w:val="20"/>
                <w:szCs w:val="20"/>
              </w:rPr>
              <w:t> </w:t>
            </w:r>
            <w:r>
              <w:rPr>
                <w:rFonts w:hint="eastAsia" w:ascii="宋体" w:hAnsi="宋体" w:eastAsia="宋体" w:cs="宋体"/>
                <w:color w:val="000000"/>
                <w:kern w:val="0"/>
                <w:sz w:val="20"/>
                <w:szCs w:val="20"/>
              </w:rPr>
              <w:t>0</w:t>
            </w:r>
          </w:p>
        </w:tc>
        <w:tc>
          <w:tcPr>
            <w:tcW w:w="75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75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0</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97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712"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8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hAnsi="宋体" w:eastAsia="宋体" w:cs="宋体"/>
                <w:color w:val="000000"/>
                <w:kern w:val="0"/>
                <w:sz w:val="20"/>
                <w:szCs w:val="20"/>
              </w:rPr>
              <w:t> 0</w:t>
            </w:r>
          </w:p>
        </w:tc>
      </w:tr>
    </w:tbl>
    <w:p>
      <w:pPr>
        <w:pStyle w:val="4"/>
        <w:widowControl/>
        <w:shd w:val="clear" w:color="auto" w:fill="FFFFFF"/>
        <w:spacing w:beforeAutospacing="0" w:afterAutospacing="0"/>
        <w:ind w:firstLine="420"/>
        <w:jc w:val="both"/>
        <w:rPr>
          <w:rFonts w:ascii="黑体" w:hAnsi="黑体" w:eastAsia="黑体"/>
          <w:kern w:val="2"/>
          <w:sz w:val="32"/>
          <w:szCs w:val="32"/>
        </w:rPr>
      </w:pPr>
      <w:r>
        <w:rPr>
          <w:rFonts w:hint="eastAsia" w:ascii="黑体" w:hAnsi="黑体" w:eastAsia="黑体"/>
          <w:kern w:val="2"/>
          <w:sz w:val="32"/>
          <w:szCs w:val="32"/>
        </w:rPr>
        <w:t>四、政府信息公开行政复议、行政诉讼情况</w:t>
      </w:r>
    </w:p>
    <w:p>
      <w:pPr>
        <w:pStyle w:val="4"/>
        <w:widowControl/>
        <w:shd w:val="clear" w:color="auto" w:fill="FFFFFF"/>
        <w:spacing w:beforeAutospacing="0" w:afterAutospacing="0"/>
        <w:ind w:firstLine="420"/>
        <w:jc w:val="both"/>
        <w:rPr>
          <w:rFonts w:ascii="宋体" w:hAnsi="宋体" w:eastAsia="宋体" w:cs="宋体"/>
          <w:color w:val="333333"/>
        </w:rPr>
      </w:pPr>
    </w:p>
    <w:tbl>
      <w:tblPr>
        <w:tblStyle w:val="7"/>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4"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58"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总计</w:t>
            </w:r>
          </w:p>
        </w:tc>
        <w:tc>
          <w:tcPr>
            <w:tcW w:w="2970"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未经复议直接起诉</w:t>
            </w:r>
          </w:p>
        </w:tc>
        <w:tc>
          <w:tcPr>
            <w:tcW w:w="3027" w:type="dxa"/>
            <w:gridSpan w:val="5"/>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658"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p>
        </w:tc>
        <w:tc>
          <w:tcPr>
            <w:tcW w:w="5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其他结果</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结果维持</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结果纠正</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其他结果</w:t>
            </w:r>
          </w:p>
        </w:tc>
        <w:tc>
          <w:tcPr>
            <w:tcW w:w="6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kern w:val="0"/>
                <w:sz w:val="20"/>
                <w:szCs w:val="20"/>
              </w:rPr>
              <w:t>尚未审结</w:t>
            </w:r>
          </w:p>
        </w:tc>
        <w:tc>
          <w:tcPr>
            <w:tcW w:w="6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5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55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pPr>
            <w:r>
              <w:rPr>
                <w:rFonts w:hint="eastAsia" w:ascii="宋体" w:hAnsi="宋体" w:eastAsia="宋体" w:cs="宋体"/>
                <w:color w:val="000000"/>
                <w:kern w:val="0"/>
                <w:sz w:val="20"/>
                <w:szCs w:val="20"/>
              </w:rPr>
              <w:t> 0</w:t>
            </w:r>
          </w:p>
        </w:tc>
        <w:tc>
          <w:tcPr>
            <w:tcW w:w="60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sz w:val="24"/>
              </w:rPr>
            </w:pPr>
            <w:r>
              <w:rPr>
                <w:rFonts w:hint="eastAsia" w:ascii="宋体" w:hAnsi="宋体" w:eastAsia="宋体" w:cs="宋体"/>
                <w:color w:val="000000"/>
                <w:kern w:val="0"/>
                <w:sz w:val="20"/>
                <w:szCs w:val="20"/>
              </w:rPr>
              <w:t> 0</w:t>
            </w:r>
          </w:p>
        </w:tc>
      </w:tr>
    </w:tbl>
    <w:p>
      <w:pPr>
        <w:widowControl/>
        <w:shd w:val="clear" w:color="auto" w:fill="FFFFFF"/>
        <w:jc w:val="center"/>
        <w:rPr>
          <w:rFonts w:ascii="宋体" w:hAnsi="宋体" w:eastAsia="宋体" w:cs="宋体"/>
          <w:color w:val="333333"/>
          <w:sz w:val="24"/>
        </w:rPr>
      </w:pPr>
    </w:p>
    <w:p>
      <w:pPr>
        <w:pStyle w:val="4"/>
        <w:widowControl/>
        <w:shd w:val="clear" w:color="auto" w:fill="FFFFFF"/>
        <w:spacing w:beforeAutospacing="0" w:afterAutospacing="0" w:line="560" w:lineRule="exact"/>
        <w:ind w:firstLine="640" w:firstLineChars="200"/>
        <w:jc w:val="both"/>
        <w:rPr>
          <w:rFonts w:ascii="黑体" w:hAnsi="黑体" w:eastAsia="黑体" w:cs="黑体"/>
          <w:b/>
          <w:color w:val="333333"/>
          <w:sz w:val="32"/>
          <w:szCs w:val="32"/>
          <w:shd w:val="clear" w:color="auto" w:fill="FFFFFF"/>
        </w:rPr>
      </w:pPr>
      <w:r>
        <w:rPr>
          <w:rFonts w:hint="eastAsia" w:ascii="黑体" w:hAnsi="黑体" w:eastAsia="黑体"/>
          <w:kern w:val="2"/>
          <w:sz w:val="32"/>
          <w:szCs w:val="32"/>
        </w:rPr>
        <w:t>五、存在的主要问题及改进情况</w:t>
      </w:r>
    </w:p>
    <w:p>
      <w:pPr>
        <w:pStyle w:val="4"/>
        <w:widowControl/>
        <w:shd w:val="clear" w:color="auto" w:fill="FFFFFF"/>
        <w:spacing w:beforeAutospacing="0" w:afterAutospacing="0" w:line="560" w:lineRule="exact"/>
        <w:ind w:firstLine="640" w:firstLineChars="200"/>
        <w:jc w:val="both"/>
        <w:rPr>
          <w:rFonts w:ascii="楷体" w:hAnsi="楷体" w:eastAsia="楷体"/>
          <w:kern w:val="2"/>
          <w:sz w:val="32"/>
          <w:szCs w:val="32"/>
        </w:rPr>
      </w:pPr>
      <w:r>
        <w:rPr>
          <w:rFonts w:hint="eastAsia" w:ascii="楷体" w:hAnsi="楷体" w:eastAsia="楷体"/>
          <w:kern w:val="2"/>
          <w:sz w:val="32"/>
          <w:szCs w:val="32"/>
        </w:rPr>
        <w:t>（一）存在的主要问题</w:t>
      </w:r>
    </w:p>
    <w:p>
      <w:pPr>
        <w:pStyle w:val="4"/>
        <w:widowControl/>
        <w:shd w:val="clear" w:color="auto" w:fill="FFFFFF"/>
        <w:spacing w:beforeAutospacing="0" w:afterAutospacing="0" w:line="560" w:lineRule="exact"/>
        <w:ind w:firstLine="640" w:firstLineChars="200"/>
        <w:jc w:val="both"/>
        <w:rPr>
          <w:rFonts w:ascii="宋体" w:hAnsi="宋体" w:eastAsia="宋体" w:cs="宋体"/>
          <w:color w:val="333333"/>
        </w:rPr>
      </w:pPr>
      <w:r>
        <w:rPr>
          <w:rFonts w:hint="eastAsia" w:ascii="仿宋_GB2312" w:hAnsi="仿宋_GB2312" w:eastAsia="仿宋_GB2312" w:cs="仿宋_GB2312"/>
          <w:kern w:val="2"/>
          <w:sz w:val="32"/>
          <w:szCs w:val="32"/>
        </w:rPr>
        <w:t>业务经办人员专业培训</w:t>
      </w:r>
      <w:r>
        <w:rPr>
          <w:rFonts w:hint="eastAsia" w:ascii="仿宋_GB2312" w:hAnsi="仿宋_GB2312" w:eastAsia="仿宋_GB2312" w:cs="仿宋_GB2312"/>
          <w:kern w:val="2"/>
          <w:sz w:val="32"/>
          <w:szCs w:val="32"/>
          <w:lang w:eastAsia="zh-CN"/>
        </w:rPr>
        <w:t>不够</w:t>
      </w:r>
      <w:r>
        <w:rPr>
          <w:rFonts w:hint="eastAsia" w:ascii="仿宋_GB2312" w:hAnsi="仿宋_GB2312" w:eastAsia="仿宋_GB2312" w:cs="仿宋_GB2312"/>
          <w:kern w:val="2"/>
          <w:sz w:val="32"/>
          <w:szCs w:val="32"/>
        </w:rPr>
        <w:t>，对具体公开的相关事宜需要进一步加强学习，网上公开信息条数较少。</w:t>
      </w:r>
    </w:p>
    <w:p>
      <w:pPr>
        <w:pStyle w:val="4"/>
        <w:widowControl/>
        <w:numPr>
          <w:ilvl w:val="0"/>
          <w:numId w:val="2"/>
        </w:numPr>
        <w:shd w:val="clear" w:color="auto" w:fill="FFFFFF"/>
        <w:spacing w:beforeAutospacing="0" w:afterAutospacing="0" w:line="560" w:lineRule="exact"/>
        <w:ind w:firstLine="640" w:firstLineChars="200"/>
        <w:jc w:val="both"/>
        <w:rPr>
          <w:rFonts w:ascii="楷体" w:hAnsi="楷体" w:eastAsia="楷体"/>
          <w:kern w:val="2"/>
          <w:sz w:val="32"/>
          <w:szCs w:val="32"/>
        </w:rPr>
      </w:pPr>
      <w:r>
        <w:rPr>
          <w:rFonts w:hint="eastAsia" w:ascii="楷体" w:hAnsi="楷体" w:eastAsia="楷体"/>
          <w:kern w:val="2"/>
          <w:sz w:val="32"/>
          <w:szCs w:val="32"/>
        </w:rPr>
        <w:t>改进情况</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一是进一步加强信息收集。街道各科室将进一步做好信息收集并及时发布，加大对政务信息的公开力度，将群众最关心、反应最强烈的</w:t>
      </w:r>
      <w:r>
        <w:rPr>
          <w:rFonts w:hint="eastAsia" w:ascii="仿宋_GB2312" w:hAnsi="仿宋_GB2312" w:eastAsia="仿宋_GB2312" w:cs="仿宋_GB2312"/>
          <w:kern w:val="2"/>
          <w:sz w:val="32"/>
          <w:szCs w:val="32"/>
          <w:lang w:eastAsia="zh-CN"/>
        </w:rPr>
        <w:t>市容、</w:t>
      </w:r>
      <w:r>
        <w:rPr>
          <w:rFonts w:hint="eastAsia" w:ascii="仿宋_GB2312" w:hAnsi="仿宋_GB2312" w:eastAsia="仿宋_GB2312" w:cs="仿宋_GB2312"/>
          <w:kern w:val="2"/>
          <w:sz w:val="32"/>
          <w:szCs w:val="32"/>
        </w:rPr>
        <w:t>计生、民生事项的资金使用等的事项作为政府信息公开的主要内容，切实发挥好信息公开平台的桥梁作用。</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二是拓展政府信息公开形式。继续加强档案管理，提高政府信息集中查阅服务功能，加强政府信息公开渠道向社区等基层领域的延伸，并继续强化政府网站作为政府信息公开主渠道的功能。</w:t>
      </w:r>
    </w:p>
    <w:p>
      <w:pPr>
        <w:pStyle w:val="4"/>
        <w:widowControl/>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三是加强对公开栏的管理和使用。街道5个社区、2个经合社将结合实际，不断创新公开方法、拓宽公开渠道、丰富公开形式。加强对公开栏的更新和管理，并及时公开政府信息。</w:t>
      </w:r>
    </w:p>
    <w:p>
      <w:pPr>
        <w:pStyle w:val="4"/>
        <w:widowControl/>
        <w:shd w:val="clear" w:color="auto" w:fill="FFFFFF"/>
        <w:spacing w:beforeAutospacing="0" w:afterAutospacing="0" w:line="560" w:lineRule="exact"/>
        <w:ind w:firstLine="420"/>
        <w:jc w:val="both"/>
        <w:rPr>
          <w:rFonts w:ascii="黑体" w:hAnsi="黑体" w:eastAsia="黑体"/>
          <w:kern w:val="2"/>
          <w:sz w:val="32"/>
          <w:szCs w:val="32"/>
        </w:rPr>
      </w:pPr>
      <w:r>
        <w:rPr>
          <w:rFonts w:hint="eastAsia" w:ascii="黑体" w:hAnsi="黑体" w:eastAsia="黑体"/>
          <w:kern w:val="2"/>
          <w:sz w:val="32"/>
          <w:szCs w:val="32"/>
        </w:rPr>
        <w:t>六、其他需要报告的事项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暂无其他需要报告的事项。</w:t>
      </w:r>
    </w:p>
    <w:p>
      <w:pPr>
        <w:pStyle w:val="4"/>
        <w:snapToGrid w:val="0"/>
        <w:spacing w:beforeAutospacing="0" w:afterAutospacing="0" w:line="560" w:lineRule="exact"/>
        <w:jc w:val="both"/>
        <w:rPr>
          <w:rFonts w:ascii="宋体" w:hAnsi="宋体" w:eastAsia="宋体" w:cs="宋体"/>
          <w:color w:val="333333"/>
          <w:sz w:val="28"/>
          <w:szCs w:val="28"/>
          <w:shd w:val="clear" w:color="auto" w:fill="FFFFFF"/>
        </w:rPr>
      </w:pPr>
    </w:p>
    <w:p>
      <w:pPr>
        <w:pStyle w:val="4"/>
        <w:snapToGrid w:val="0"/>
        <w:spacing w:beforeAutospacing="0" w:afterAutospacing="0" w:line="560" w:lineRule="exact"/>
        <w:jc w:val="both"/>
        <w:rPr>
          <w:rFonts w:ascii="宋体" w:hAnsi="宋体" w:eastAsia="宋体" w:cs="宋体"/>
          <w:color w:val="333333"/>
          <w:sz w:val="28"/>
          <w:szCs w:val="28"/>
          <w:shd w:val="clear" w:color="auto" w:fill="FFFFFF"/>
        </w:rPr>
      </w:pPr>
    </w:p>
    <w:p>
      <w:pPr>
        <w:spacing w:line="560" w:lineRule="exact"/>
        <w:ind w:firstLine="57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台江区人民政府宁化街道办事处</w:t>
      </w:r>
    </w:p>
    <w:p>
      <w:pPr>
        <w:spacing w:line="560" w:lineRule="exact"/>
        <w:ind w:firstLine="570"/>
        <w:jc w:val="right"/>
        <w:rPr>
          <w:rFonts w:ascii="宋体" w:hAnsi="宋体" w:eastAsia="宋体" w:cs="宋体"/>
          <w:color w:val="333333"/>
          <w:sz w:val="28"/>
          <w:szCs w:val="28"/>
          <w:shd w:val="clear" w:color="auto" w:fill="FFFFFF"/>
        </w:rPr>
      </w:pPr>
      <w:r>
        <w:rPr>
          <w:rFonts w:hint="eastAsia" w:ascii="仿宋_GB2312" w:hAnsi="仿宋_GB2312" w:eastAsia="仿宋_GB2312" w:cs="仿宋_GB2312"/>
          <w:sz w:val="32"/>
          <w:szCs w:val="32"/>
        </w:rPr>
        <w:t>2020年1月12日</w:t>
      </w:r>
    </w:p>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8A1C"/>
    <w:multiLevelType w:val="singleLevel"/>
    <w:tmpl w:val="57E78A1C"/>
    <w:lvl w:ilvl="0" w:tentative="0">
      <w:start w:val="1"/>
      <w:numFmt w:val="chineseCounting"/>
      <w:suff w:val="nothing"/>
      <w:lvlText w:val="（%1）"/>
      <w:lvlJc w:val="left"/>
      <w:rPr>
        <w:rFonts w:hint="eastAsia"/>
      </w:rPr>
    </w:lvl>
  </w:abstractNum>
  <w:abstractNum w:abstractNumId="1">
    <w:nsid w:val="6EC7361B"/>
    <w:multiLevelType w:val="singleLevel"/>
    <w:tmpl w:val="6EC7361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4105D4"/>
    <w:rsid w:val="00035C23"/>
    <w:rsid w:val="00740549"/>
    <w:rsid w:val="008F66B6"/>
    <w:rsid w:val="00936C16"/>
    <w:rsid w:val="00B02C29"/>
    <w:rsid w:val="00CF25BB"/>
    <w:rsid w:val="24200B33"/>
    <w:rsid w:val="28847FA9"/>
    <w:rsid w:val="290A6F86"/>
    <w:rsid w:val="32DB0B52"/>
    <w:rsid w:val="40066E40"/>
    <w:rsid w:val="43D415B3"/>
    <w:rsid w:val="471A0193"/>
    <w:rsid w:val="4955491C"/>
    <w:rsid w:val="4A7F147A"/>
    <w:rsid w:val="4B24395B"/>
    <w:rsid w:val="4D2F37A6"/>
    <w:rsid w:val="4DF5217A"/>
    <w:rsid w:val="59CC3EF4"/>
    <w:rsid w:val="5AEA3542"/>
    <w:rsid w:val="5C1F7772"/>
    <w:rsid w:val="5EED69EF"/>
    <w:rsid w:val="6B3703D6"/>
    <w:rsid w:val="6DFB4369"/>
    <w:rsid w:val="6E596764"/>
    <w:rsid w:val="7B4105D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405</Words>
  <Characters>2314</Characters>
  <Lines>19</Lines>
  <Paragraphs>5</Paragraphs>
  <TotalTime>0</TotalTime>
  <ScaleCrop>false</ScaleCrop>
  <LinksUpToDate>false</LinksUpToDate>
  <CharactersWithSpaces>2714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2021-01-12T06:48:00Z</dcterms:created>
  <dc:creator>January</dc:creator>
  <cp:lastModifiedBy>Administrator</cp:lastModifiedBy>
  <cp:lastPrinted>2021-01-12T06:59:36Z</cp:lastPrinted>
  <dcterms:modified xsi:type="dcterms:W3CDTF">2021-01-12T06:59:41Z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