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台江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地区地方政府债务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预算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1.82亿元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（均为一般债务，其中外债转贷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0.01亿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元）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2019年地方政府债务限额3.33亿元，其中一般债务3.28亿元，专项债务0.05亿元。债务余额预计执行数2.54亿元，其中一般债务2.49亿元，专项债务0.05亿元。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1.81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均为</w:t>
      </w:r>
      <w:r>
        <w:rPr>
          <w:rFonts w:hint="eastAsia" w:ascii="仿宋" w:hAnsi="仿宋" w:eastAsia="仿宋" w:cs="仿宋"/>
          <w:spacing w:val="-6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1.81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0.00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0.00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2019年</w:t>
      </w:r>
      <w:r>
        <w:rPr>
          <w:rFonts w:hint="eastAsia" w:ascii="仿宋" w:hAnsi="仿宋" w:eastAsia="仿宋" w:cs="仿宋"/>
          <w:b w:val="0"/>
          <w:bCs w:val="0"/>
          <w:spacing w:val="-6"/>
        </w:rPr>
        <w:t>全区地方政府债券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还本预计执行数0亿元，付息预计执行数0.06亿元。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2020年度地方政府债券还本预算数0.13元，付息预算数0.1亿元。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新增债务限额23926万元（其中一般债务1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3926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万元，含外债转贷119万元；专项债务10000万元）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一般债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资金安排新建南公小学教学楼及综合楼项目6000万元、新建坊巷小学教学楼及综合楼项目5707万元，台江区社会福利中心2100万元；世行贷款中国（福建）医疗卫生改革促进项目119万元。</w:t>
      </w:r>
    </w:p>
    <w:p>
      <w:pPr>
        <w:pStyle w:val="7"/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专项债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资金安排台江区学前教育补短板工程1000万元，台江区老旧小区整治项目9000万元。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45D2C92"/>
    <w:rsid w:val="072C16D6"/>
    <w:rsid w:val="1A1203AD"/>
    <w:rsid w:val="21C219FF"/>
    <w:rsid w:val="220A51FD"/>
    <w:rsid w:val="22627B76"/>
    <w:rsid w:val="245A7526"/>
    <w:rsid w:val="25DC1206"/>
    <w:rsid w:val="29CA5B76"/>
    <w:rsid w:val="2D203EFE"/>
    <w:rsid w:val="395C66FB"/>
    <w:rsid w:val="40410CF1"/>
    <w:rsid w:val="4A41265E"/>
    <w:rsid w:val="548155B4"/>
    <w:rsid w:val="597B12D2"/>
    <w:rsid w:val="5DC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78</Words>
  <Characters>447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Administrator</cp:lastModifiedBy>
  <cp:lastPrinted>2021-05-31T10:34:00Z</cp:lastPrinted>
  <dcterms:modified xsi:type="dcterms:W3CDTF">2021-06-07T03:06:58Z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A094C939DB164037AF872F6CC8426C1C</vt:lpwstr>
  </property>
</Properties>
</file>