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val="0"/>
        <w:spacing w:line="240" w:lineRule="auto"/>
        <w:jc w:val="both"/>
        <w:textAlignment w:val="auto"/>
        <w:rPr>
          <w:rFonts w:hint="eastAsia" w:ascii="仿宋" w:hAnsi="仿宋" w:eastAsia="仿宋" w:cs="宋体"/>
          <w:b/>
          <w:color w:val="auto"/>
          <w:kern w:val="0"/>
          <w:sz w:val="36"/>
          <w:szCs w:val="36"/>
          <w:highlight w:val="none"/>
          <w:u w:val="none"/>
          <w:shd w:val="clear" w:color="auto" w:fill="FFFFFF"/>
          <w:lang w:eastAsia="zh-CN"/>
        </w:rPr>
      </w:pPr>
      <w:bookmarkStart w:id="0" w:name="_GoBack"/>
      <w:bookmarkEnd w:id="0"/>
    </w:p>
    <w:p>
      <w:pPr>
        <w:keepNext w:val="0"/>
        <w:keepLines w:val="0"/>
        <w:pageBreakBefore w:val="0"/>
        <w:shd w:val="clear" w:color="auto" w:fill="FFFFFF"/>
        <w:kinsoku/>
        <w:wordWrap/>
        <w:overflowPunct/>
        <w:topLinePunct w:val="0"/>
        <w:autoSpaceDE/>
        <w:autoSpaceDN/>
        <w:bidi w:val="0"/>
        <w:adjustRightInd/>
        <w:snapToGrid w:val="0"/>
        <w:spacing w:line="240" w:lineRule="auto"/>
        <w:jc w:val="center"/>
        <w:textAlignment w:val="auto"/>
        <w:rPr>
          <w:rFonts w:ascii="仿宋" w:hAnsi="仿宋" w:eastAsia="仿宋" w:cs="宋体"/>
          <w:b/>
          <w:color w:val="auto"/>
          <w:sz w:val="36"/>
          <w:szCs w:val="36"/>
          <w:highlight w:val="none"/>
          <w:u w:val="none"/>
          <w:shd w:val="clear" w:color="auto" w:fill="FFFFFF"/>
        </w:rPr>
      </w:pPr>
      <w:r>
        <w:rPr>
          <w:rFonts w:hint="eastAsia" w:ascii="仿宋" w:hAnsi="仿宋" w:eastAsia="仿宋" w:cs="宋体"/>
          <w:b/>
          <w:color w:val="auto"/>
          <w:kern w:val="0"/>
          <w:sz w:val="36"/>
          <w:szCs w:val="36"/>
          <w:highlight w:val="none"/>
          <w:u w:val="none"/>
          <w:shd w:val="clear" w:color="auto" w:fill="FFFFFF"/>
          <w:lang w:eastAsia="zh-CN"/>
        </w:rPr>
        <w:t>祖庙后地块项目</w:t>
      </w:r>
      <w:r>
        <w:rPr>
          <w:rFonts w:hint="eastAsia" w:ascii="仿宋" w:hAnsi="仿宋" w:eastAsia="仿宋" w:cs="宋体"/>
          <w:b/>
          <w:color w:val="auto"/>
          <w:sz w:val="36"/>
          <w:szCs w:val="36"/>
          <w:highlight w:val="none"/>
          <w:u w:val="none"/>
          <w:shd w:val="clear" w:color="auto" w:fill="FFFFFF"/>
        </w:rPr>
        <w:t>国有土地上房屋征收补偿方案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宋体"/>
          <w:color w:val="auto"/>
          <w:sz w:val="28"/>
          <w:szCs w:val="28"/>
          <w:highlight w:val="none"/>
          <w:u w:val="none"/>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560" w:firstLineChars="200"/>
        <w:textAlignment w:val="auto"/>
        <w:rPr>
          <w:rFonts w:ascii="仿宋" w:hAnsi="仿宋" w:eastAsia="仿宋" w:cs="宋体"/>
          <w:color w:val="auto"/>
          <w:sz w:val="28"/>
          <w:szCs w:val="28"/>
          <w:highlight w:val="none"/>
          <w:u w:val="none"/>
          <w:shd w:val="clear" w:color="auto" w:fill="FFFFFF"/>
        </w:rPr>
      </w:pPr>
      <w:r>
        <w:rPr>
          <w:rFonts w:hint="eastAsia" w:ascii="仿宋" w:hAnsi="仿宋" w:eastAsia="仿宋" w:cs="宋体"/>
          <w:color w:val="auto"/>
          <w:sz w:val="28"/>
          <w:szCs w:val="28"/>
          <w:highlight w:val="none"/>
          <w:u w:val="none"/>
          <w:shd w:val="clear" w:color="auto" w:fill="FFFFFF"/>
        </w:rPr>
        <w:t>因</w:t>
      </w:r>
      <w:r>
        <w:rPr>
          <w:rFonts w:hint="eastAsia" w:ascii="仿宋" w:hAnsi="仿宋" w:eastAsia="仿宋" w:cs="宋体"/>
          <w:color w:val="auto"/>
          <w:sz w:val="28"/>
          <w:szCs w:val="28"/>
          <w:highlight w:val="none"/>
          <w:u w:val="none"/>
          <w:shd w:val="clear" w:color="auto" w:fill="FFFFFF"/>
          <w:lang w:eastAsia="zh-CN"/>
        </w:rPr>
        <w:t>祖庙后地块项目</w:t>
      </w:r>
      <w:r>
        <w:rPr>
          <w:rFonts w:hint="eastAsia" w:ascii="仿宋" w:hAnsi="仿宋" w:eastAsia="仿宋" w:cs="宋体"/>
          <w:color w:val="auto"/>
          <w:sz w:val="28"/>
          <w:szCs w:val="28"/>
          <w:highlight w:val="none"/>
          <w:u w:val="none"/>
          <w:shd w:val="clear" w:color="auto" w:fill="FFFFFF"/>
        </w:rPr>
        <w:t>建设需要，福州市台江区人民政府决定征收该项目规划红线范围内国有土地上的所有房屋，现根据《国有土地上房屋征收与补偿条例》</w:t>
      </w:r>
      <w:r>
        <w:rPr>
          <w:rFonts w:hint="eastAsia" w:ascii="仿宋" w:hAnsi="仿宋" w:eastAsia="仿宋" w:cs="宋体"/>
          <w:color w:val="auto"/>
          <w:sz w:val="28"/>
          <w:szCs w:val="28"/>
          <w:highlight w:val="none"/>
          <w:u w:val="none"/>
          <w:shd w:val="clear" w:color="auto" w:fill="FFFFFF"/>
          <w:lang w:eastAsia="zh-CN"/>
        </w:rPr>
        <w:t>、《中华人民共和国土地管理法》、《国有土地上房屋征收与补偿条例》、</w:t>
      </w:r>
      <w:r>
        <w:rPr>
          <w:rFonts w:hint="eastAsia" w:ascii="仿宋" w:hAnsi="仿宋" w:eastAsia="仿宋" w:cs="宋体"/>
          <w:color w:val="auto"/>
          <w:sz w:val="28"/>
          <w:szCs w:val="28"/>
          <w:highlight w:val="none"/>
          <w:u w:val="none"/>
          <w:shd w:val="clear" w:color="auto" w:fill="FFFFFF"/>
        </w:rPr>
        <w:t>《福州市房屋征收补偿实施细则》、《福州市房屋征收补偿实施细则补充规定》、</w:t>
      </w:r>
      <w:r>
        <w:rPr>
          <w:rFonts w:ascii="仿宋" w:hAnsi="仿宋" w:eastAsia="仿宋" w:cs="宋体"/>
          <w:color w:val="auto"/>
          <w:sz w:val="28"/>
          <w:szCs w:val="28"/>
          <w:highlight w:val="none"/>
          <w:u w:val="none"/>
          <w:shd w:val="clear" w:color="auto" w:fill="FFFFFF"/>
        </w:rPr>
        <w:t>《进一步完善旧屋区改造统筹</w:t>
      </w:r>
      <w:r>
        <w:rPr>
          <w:rFonts w:hint="eastAsia" w:ascii="仿宋" w:hAnsi="仿宋" w:eastAsia="仿宋" w:cs="宋体"/>
          <w:color w:val="auto"/>
          <w:sz w:val="28"/>
          <w:szCs w:val="28"/>
          <w:highlight w:val="none"/>
          <w:u w:val="none"/>
          <w:shd w:val="clear" w:color="auto" w:fill="FFFFFF"/>
        </w:rPr>
        <w:t>安</w:t>
      </w:r>
      <w:r>
        <w:rPr>
          <w:rFonts w:ascii="仿宋" w:hAnsi="仿宋" w:eastAsia="仿宋" w:cs="宋体"/>
          <w:color w:val="auto"/>
          <w:sz w:val="28"/>
          <w:szCs w:val="28"/>
          <w:highlight w:val="none"/>
          <w:u w:val="none"/>
          <w:shd w:val="clear" w:color="auto" w:fill="FFFFFF"/>
        </w:rPr>
        <w:t>排调度机制的实施意见（试行）》、</w:t>
      </w:r>
      <w:r>
        <w:rPr>
          <w:rFonts w:hint="eastAsia" w:ascii="仿宋" w:hAnsi="仿宋" w:eastAsia="仿宋" w:cs="宋体"/>
          <w:color w:val="auto"/>
          <w:sz w:val="28"/>
          <w:szCs w:val="28"/>
          <w:highlight w:val="none"/>
          <w:u w:val="none"/>
          <w:shd w:val="clear" w:color="auto" w:fill="FFFFFF"/>
        </w:rPr>
        <w:t>《关于调整完善工业企业征收政策的意见》、《关于进一步盘活使用统建和配建安置房源的实施意见》等相关规定，结合本项目的实际情况，现特制定如下房屋征收补偿方案。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一、征收补偿对象及方式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（一）凡本征收范围 (具体以征地红线图为准)的被征收人列入征收补偿对象。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持有建筑许可执照（建设工程规划许可证）未建设的不予补偿。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（4）安置面积小于等于60平方米的，原则上实行实物安置。安置面积大于60平方米的，原则上实物安置面积不得少于60平方米；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（5）无产权房屋确认补偿安置面积后，选择实物安置的比例不得低于50%。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（三）建筑面积计算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sz w:val="28"/>
          <w:szCs w:val="28"/>
          <w:highlight w:val="none"/>
          <w:u w:val="none"/>
          <w:shd w:val="clear" w:color="auto" w:fill="FFFFFF"/>
        </w:rPr>
        <w:t>（一）被征收人选择货币补偿并按整体区位评估方式结算货币补偿金额的，货币补偿金额</w:t>
      </w:r>
      <w:r>
        <w:rPr>
          <w:rFonts w:hint="eastAsia" w:ascii="仿宋" w:hAnsi="仿宋" w:eastAsia="仿宋" w:cs="仿宋"/>
          <w:i w:val="0"/>
          <w:iCs w:val="0"/>
          <w:caps w:val="0"/>
          <w:color w:val="333333"/>
          <w:spacing w:val="0"/>
          <w:sz w:val="28"/>
          <w:szCs w:val="28"/>
          <w:highlight w:val="none"/>
          <w:u w:val="none"/>
          <w:shd w:val="clear" w:color="auto" w:fill="FFFFFF"/>
          <w:lang w:val="en-US"/>
        </w:rPr>
        <w:t>=</w:t>
      </w:r>
      <w:r>
        <w:rPr>
          <w:rFonts w:hint="eastAsia" w:ascii="仿宋" w:hAnsi="仿宋" w:eastAsia="仿宋" w:cs="仿宋"/>
          <w:i w:val="0"/>
          <w:iCs w:val="0"/>
          <w:caps w:val="0"/>
          <w:color w:val="333333"/>
          <w:spacing w:val="0"/>
          <w:sz w:val="28"/>
          <w:szCs w:val="28"/>
          <w:highlight w:val="none"/>
          <w:u w:val="none"/>
          <w:shd w:val="clear" w:color="auto" w:fill="FFFFFF"/>
        </w:rPr>
        <w:t>确认的房屋合法建筑面积×（住宅区位价</w:t>
      </w:r>
      <w:r>
        <w:rPr>
          <w:rFonts w:hint="eastAsia" w:ascii="仿宋" w:hAnsi="仿宋" w:eastAsia="仿宋" w:cs="仿宋"/>
          <w:i w:val="0"/>
          <w:iCs w:val="0"/>
          <w:caps w:val="0"/>
          <w:color w:val="333333"/>
          <w:spacing w:val="0"/>
          <w:sz w:val="28"/>
          <w:szCs w:val="28"/>
          <w:highlight w:val="none"/>
          <w:u w:val="none"/>
          <w:shd w:val="clear" w:color="auto" w:fill="FFFFFF"/>
          <w:lang w:val="en-US"/>
        </w:rPr>
        <w:t>+</w:t>
      </w:r>
      <w:r>
        <w:rPr>
          <w:rFonts w:hint="eastAsia" w:ascii="仿宋" w:hAnsi="仿宋" w:eastAsia="仿宋" w:cs="仿宋"/>
          <w:i w:val="0"/>
          <w:iCs w:val="0"/>
          <w:caps w:val="0"/>
          <w:color w:val="333333"/>
          <w:spacing w:val="0"/>
          <w:sz w:val="28"/>
          <w:szCs w:val="28"/>
          <w:highlight w:val="none"/>
          <w:u w:val="none"/>
          <w:shd w:val="clear" w:color="auto" w:fill="FFFFFF"/>
        </w:rPr>
        <w:t>被征收房屋建安综合单价×成新率），同时根据确权建筑面积给予货币奖励</w:t>
      </w:r>
      <w:r>
        <w:rPr>
          <w:rFonts w:hint="eastAsia" w:ascii="仿宋" w:hAnsi="仿宋" w:eastAsia="仿宋" w:cs="仿宋"/>
          <w:i w:val="0"/>
          <w:iCs w:val="0"/>
          <w:caps w:val="0"/>
          <w:color w:val="333333"/>
          <w:spacing w:val="0"/>
          <w:sz w:val="28"/>
          <w:szCs w:val="28"/>
          <w:highlight w:val="none"/>
          <w:u w:val="none"/>
          <w:shd w:val="clear" w:color="auto" w:fill="FFFFFF"/>
          <w:lang w:val="en-US" w:eastAsia="zh-CN"/>
        </w:rPr>
        <w:t>3182</w:t>
      </w:r>
      <w:r>
        <w:rPr>
          <w:rFonts w:hint="eastAsia" w:ascii="仿宋" w:hAnsi="仿宋" w:eastAsia="仿宋" w:cs="仿宋"/>
          <w:i w:val="0"/>
          <w:iCs w:val="0"/>
          <w:caps w:val="0"/>
          <w:color w:val="333333"/>
          <w:spacing w:val="0"/>
          <w:sz w:val="28"/>
          <w:szCs w:val="28"/>
          <w:highlight w:val="none"/>
          <w:u w:val="none"/>
          <w:shd w:val="clear" w:color="auto" w:fill="FFFFFF"/>
        </w:rPr>
        <w:t>元</w:t>
      </w:r>
      <w:r>
        <w:rPr>
          <w:rFonts w:hint="eastAsia" w:ascii="仿宋" w:hAnsi="仿宋" w:eastAsia="仿宋" w:cs="仿宋"/>
          <w:i w:val="0"/>
          <w:iCs w:val="0"/>
          <w:caps w:val="0"/>
          <w:color w:val="333333"/>
          <w:spacing w:val="0"/>
          <w:sz w:val="28"/>
          <w:szCs w:val="28"/>
          <w:highlight w:val="none"/>
          <w:u w:val="none"/>
          <w:shd w:val="clear" w:color="auto" w:fill="FFFFFF"/>
          <w:lang w:val="en-US"/>
        </w:rPr>
        <w:t>/</w:t>
      </w:r>
      <w:r>
        <w:rPr>
          <w:rFonts w:hint="eastAsia" w:ascii="仿宋" w:hAnsi="仿宋" w:eastAsia="仿宋" w:cs="仿宋"/>
          <w:i w:val="0"/>
          <w:iCs w:val="0"/>
          <w:caps w:val="0"/>
          <w:color w:val="333333"/>
          <w:spacing w:val="0"/>
          <w:sz w:val="28"/>
          <w:szCs w:val="28"/>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3800元/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方式一：被征收房屋确权面积加公摊补偿面积后就近上靠标准房型；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标准房型面积为45、60、75、90、105、120、135平方米。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（四）本项目住宅区位价： 16000元/㎡。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（五）征收合法产权的杂物间，可按杂物间建筑面积的50%折算并入住宅房屋进行补偿安置。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六）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奖励，对选择货币补偿并放弃购买安置型商品房（或产权调换）的，公摊补偿面积给予3182元/㎡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（七）被征收人在签约期限内签约搬迁的，对被征收的成套单元房可另外给予420元/平方米的成套房基础设施配套费补助，计入被征收房屋补偿价格。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八）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九）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（十）安置房源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1.安置型商品房（或产权调换房）地点及销售均价（对接价）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祖庙后地块</w:t>
      </w:r>
      <w:r>
        <w:rPr>
          <w:rFonts w:hint="eastAsia" w:ascii="仿宋_GB2312" w:hAnsi="仿宋_GB2312" w:eastAsia="仿宋_GB2312" w:cs="仿宋_GB2312"/>
          <w:color w:val="auto"/>
          <w:sz w:val="28"/>
          <w:szCs w:val="28"/>
          <w:highlight w:val="none"/>
          <w:lang w:eastAsia="zh-CN"/>
        </w:rPr>
        <w:t>就</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地安置房           对接价19800元/㎡；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南山纵横瀛洲府安置型商品房     销售均价19800元/㎡；</w:t>
      </w:r>
    </w:p>
    <w:p>
      <w:pPr>
        <w:shd w:val="clear" w:color="auto" w:fill="FFFFFF"/>
        <w:spacing w:line="480" w:lineRule="exact"/>
        <w:ind w:firstLine="560" w:firstLineChars="200"/>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融信洋中城</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对接价17500元/㎡；</w:t>
      </w: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世茂云浦公馆</w:t>
      </w:r>
      <w:r>
        <w:rPr>
          <w:rFonts w:hint="eastAsia" w:ascii="仿宋_GB2312" w:hAnsi="仿宋_GB2312" w:eastAsia="仿宋_GB2312" w:cs="仿宋_GB2312"/>
          <w:color w:val="auto"/>
          <w:sz w:val="28"/>
          <w:szCs w:val="28"/>
          <w:highlight w:val="none"/>
          <w:lang w:eastAsia="zh-CN"/>
        </w:rPr>
        <w:t>安置型商品房</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销售均价</w:t>
      </w:r>
      <w:r>
        <w:rPr>
          <w:rFonts w:hint="eastAsia" w:ascii="仿宋_GB2312" w:hAnsi="仿宋_GB2312" w:eastAsia="仿宋_GB2312" w:cs="仿宋_GB2312"/>
          <w:color w:val="auto"/>
          <w:sz w:val="28"/>
          <w:szCs w:val="28"/>
          <w:highlight w:val="none"/>
          <w:lang w:val="en-US" w:eastAsia="zh-CN"/>
        </w:rPr>
        <w:t>15300</w:t>
      </w:r>
      <w:r>
        <w:rPr>
          <w:rFonts w:hint="eastAsia" w:ascii="仿宋_GB2312" w:hAnsi="仿宋_GB2312" w:eastAsia="仿宋_GB2312" w:cs="仿宋_GB2312"/>
          <w:color w:val="auto"/>
          <w:sz w:val="28"/>
          <w:szCs w:val="28"/>
          <w:highlight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铂悦华郡</w:t>
      </w:r>
      <w:r>
        <w:rPr>
          <w:rFonts w:hint="eastAsia" w:ascii="仿宋_GB2312" w:hAnsi="仿宋_GB2312" w:eastAsia="仿宋_GB2312" w:cs="仿宋_GB2312"/>
          <w:color w:val="auto"/>
          <w:sz w:val="28"/>
          <w:szCs w:val="28"/>
          <w:highlight w:val="none"/>
          <w:lang w:eastAsia="zh-CN"/>
        </w:rPr>
        <w:t>安置型商品房</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销售均价</w:t>
      </w:r>
      <w:r>
        <w:rPr>
          <w:rFonts w:hint="eastAsia" w:ascii="仿宋_GB2312" w:hAnsi="仿宋_GB2312" w:eastAsia="仿宋_GB2312" w:cs="仿宋_GB2312"/>
          <w:color w:val="auto"/>
          <w:sz w:val="28"/>
          <w:szCs w:val="28"/>
          <w:highlight w:val="none"/>
          <w:lang w:val="en-US" w:eastAsia="zh-CN"/>
        </w:rPr>
        <w:t>16280</w:t>
      </w:r>
      <w:r>
        <w:rPr>
          <w:rFonts w:hint="eastAsia" w:ascii="仿宋_GB2312" w:hAnsi="仿宋_GB2312" w:eastAsia="仿宋_GB2312" w:cs="仿宋_GB2312"/>
          <w:color w:val="auto"/>
          <w:sz w:val="28"/>
          <w:szCs w:val="28"/>
          <w:highlight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融创公馆</w:t>
      </w:r>
      <w:r>
        <w:rPr>
          <w:rFonts w:hint="eastAsia" w:ascii="仿宋_GB2312" w:hAnsi="仿宋_GB2312" w:eastAsia="仿宋_GB2312" w:cs="仿宋_GB2312"/>
          <w:color w:val="auto"/>
          <w:sz w:val="28"/>
          <w:szCs w:val="28"/>
          <w:highlight w:val="none"/>
          <w:lang w:eastAsia="zh-CN"/>
        </w:rPr>
        <w:t>安置型商品房</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销售均价</w:t>
      </w:r>
      <w:r>
        <w:rPr>
          <w:rFonts w:hint="eastAsia" w:ascii="仿宋_GB2312" w:hAnsi="仿宋_GB2312" w:eastAsia="仿宋_GB2312" w:cs="仿宋_GB2312"/>
          <w:color w:val="auto"/>
          <w:sz w:val="28"/>
          <w:szCs w:val="28"/>
          <w:highlight w:val="none"/>
          <w:lang w:val="en-US" w:eastAsia="zh-CN"/>
        </w:rPr>
        <w:t>15600</w:t>
      </w:r>
      <w:r>
        <w:rPr>
          <w:rFonts w:hint="eastAsia" w:ascii="仿宋_GB2312" w:hAnsi="仿宋_GB2312" w:eastAsia="仿宋_GB2312" w:cs="仿宋_GB2312"/>
          <w:color w:val="auto"/>
          <w:sz w:val="28"/>
          <w:szCs w:val="28"/>
          <w:highlight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eastAsia="zh-CN"/>
        </w:rPr>
        <w:t>瑞景园安置型商品房</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rPr>
        <w:t>销售均价</w:t>
      </w:r>
      <w:r>
        <w:rPr>
          <w:rFonts w:hint="eastAsia" w:ascii="仿宋_GB2312" w:hAnsi="仿宋_GB2312" w:eastAsia="仿宋_GB2312" w:cs="仿宋_GB2312"/>
          <w:color w:val="auto"/>
          <w:sz w:val="28"/>
          <w:szCs w:val="28"/>
          <w:highlight w:val="none"/>
          <w:lang w:val="en-US" w:eastAsia="zh-CN"/>
        </w:rPr>
        <w:t>15600</w:t>
      </w:r>
      <w:r>
        <w:rPr>
          <w:rFonts w:hint="eastAsia" w:ascii="仿宋_GB2312" w:hAnsi="仿宋_GB2312" w:eastAsia="仿宋_GB2312" w:cs="仿宋_GB2312"/>
          <w:color w:val="auto"/>
          <w:sz w:val="28"/>
          <w:szCs w:val="28"/>
          <w:highlight w:val="none"/>
        </w:rPr>
        <w:t>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 xml:space="preserve">鲁能公馆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对接价1846</w:t>
      </w: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以上房源具体户型、数量、单元号以现场公布为准。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2.被征收人选择融信洋中城、</w:t>
      </w:r>
      <w:r>
        <w:rPr>
          <w:rFonts w:hint="eastAsia" w:ascii="仿宋_GB2312" w:hAnsi="仿宋_GB2312" w:eastAsia="仿宋_GB2312" w:cs="仿宋_GB2312"/>
          <w:color w:val="auto"/>
          <w:sz w:val="28"/>
          <w:szCs w:val="28"/>
          <w:highlight w:val="none"/>
          <w:lang w:val="en-US" w:eastAsia="zh-CN"/>
        </w:rPr>
        <w:t>南山纵横瀛洲府</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房源进行安置的，仅限选择一处且仅能选择一套。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三、非住宅房屋征收补偿机制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84"/>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（四）整体区位评估方式结算货币补偿金额的补偿计价方式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1.营业性店面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（1）沿祖庙后弄一层营业性店面货币补偿计价方式：货币补偿金额=被征收营业性店面的确权建筑面积×（</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22260</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w:t>
      </w:r>
      <w:r>
        <w:rPr>
          <w:rFonts w:hint="eastAsia" w:ascii="仿宋" w:hAnsi="仿宋" w:eastAsia="仿宋" w:cs="仿宋"/>
          <w:i w:val="0"/>
          <w:iCs w:val="0"/>
          <w:caps w:val="0"/>
          <w:color w:val="333333"/>
          <w:spacing w:val="-4"/>
          <w:kern w:val="0"/>
          <w:sz w:val="28"/>
          <w:szCs w:val="28"/>
          <w:highlight w:val="none"/>
          <w:shd w:val="clear" w:color="auto" w:fill="FFFFFF"/>
          <w:lang w:val="en-US" w:eastAsia="zh-CN" w:bidi="ar"/>
        </w:rPr>
        <w:t>被征收房屋重置价</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（2）沿帮边巷一层营业性店面货币补偿计价方式：货币补偿金额=被征收营业性店面的确权建筑面积×（</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21837</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w:t>
      </w:r>
      <w:r>
        <w:rPr>
          <w:rFonts w:hint="eastAsia" w:ascii="仿宋" w:hAnsi="仿宋" w:eastAsia="仿宋" w:cs="仿宋"/>
          <w:i w:val="0"/>
          <w:iCs w:val="0"/>
          <w:caps w:val="0"/>
          <w:color w:val="333333"/>
          <w:spacing w:val="-4"/>
          <w:kern w:val="0"/>
          <w:sz w:val="28"/>
          <w:szCs w:val="28"/>
          <w:highlight w:val="none"/>
          <w:shd w:val="clear" w:color="auto" w:fill="FFFFFF"/>
          <w:lang w:val="en-US" w:eastAsia="zh-CN" w:bidi="ar"/>
        </w:rPr>
        <w:t>被征收房屋重置价</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2.办公用房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私房办公用房货币补偿计价方式：货币补偿金额=被征收办公用房的确权建筑面积×（</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10088</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3.在签约期限内签约搬迁的，非住宅房屋奖励：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（1）根据确认的合法建筑面积，按以下标准给予搬迁奖励：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沿祖庙后弄一层营业性店面</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2226</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元/㎡，沿帮边巷一层营业性店面</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2184</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元/㎡，办公用房</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1009</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（2）选择实行货币补偿的，根据确认的合法建筑面积，按以下标准另给予货币奖励：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沿祖庙后弄一层营业性店面</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2226</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元/㎡，沿帮边巷一层营业性店面</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2184</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元/㎡，办公用房</w:t>
      </w:r>
      <w:r>
        <w:rPr>
          <w:rFonts w:hint="eastAsia" w:ascii="仿宋" w:hAnsi="仿宋" w:eastAsia="仿宋" w:cs="仿宋"/>
          <w:i w:val="0"/>
          <w:iCs w:val="0"/>
          <w:caps w:val="0"/>
          <w:color w:val="333333"/>
          <w:spacing w:val="0"/>
          <w:kern w:val="0"/>
          <w:sz w:val="28"/>
          <w:szCs w:val="28"/>
          <w:highlight w:val="none"/>
          <w:u w:val="single"/>
          <w:shd w:val="clear" w:color="auto" w:fill="FFFFFF"/>
          <w:lang w:val="en-US" w:eastAsia="zh-CN" w:bidi="ar"/>
        </w:rPr>
        <w:t>1009</w:t>
      </w: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可给予被征收房屋分户评估价5％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四、无产权房屋征收补偿机制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（七）2012年12月31日后建设的无产权房屋不予补偿。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五、公房征收补偿安置机制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公房住宅产权补偿款标准按住宅区位价的20%计算，即3200元/㎡。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六、过渡期保障机制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（一）住宅房屋选择对接购买安置型商品房或产权调换并自行过渡的，按确权的住宅建筑面积向被征收人发放过渡费（原面积不足30平方米的按30平方米计算）。过渡费标准为：每月每平方米15元。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对选择货币补偿和现房安置的被征收人给予6个月过渡费。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在签约期限内签约搬迁的，对确权住宅房屋被征收人每户给予2万元的租房补贴。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七、其他激励机制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3182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（三）住宅搬迁补助费为15元/平方米，非住宅搬迁补助费为20元/平方米。搬迁补助费不足1000元的按1000元计算。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（四）被征收人在签约期限内签约并搬迁交房的，按照下列标准给予提前搬迁奖励。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2.征收店面、办公用房、厂房、仓储性用房等非住宅房屋，按确权面积每平方米给予不超过100元的提前搬迁奖励。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（五）被征收人在签约期限内签约搬迁的，住宅房屋可按确认的合法建筑面积一次性给予50元/平方米的安家补助。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（六）安置房内部未设隔墙、未配置洁具的，以标准户型为基数，给予80元/平方米的内部隔墙及卫生洁具补助。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（七）电话补助费58元/户，有线电视补助费50元/户，宽带网络迁移补助费108元/户，管道煤气（燃气）补助费3140元/户。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八）产权、确权住宅房屋旧房补偿一等框架结构建安综合单价为3800元/平方米，其余参照榕房〔2017〕89号的建安综合单价及成新率评定标准执行；其它非住宅房屋及2004年10月26日至2006年8月26日间建造的无产权房屋的旧房补偿参照榕政办〔2013〕100号文标准执行。被征收人选择整体区位评估方式进行计价的，二次装修项目补偿按照榕政办〔2013〕100号文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九）被征收房屋层高超过4米(含4米)的，建安综合单价（或重置价）标准提高20％；被征收房屋层高超过6米(含6米)的，建安综合单价（或重置价）标准提高40％；被征收房屋层高超过8米(含8米)的，建安综合单价（或重置价）标准提高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八、签约期限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default" w:ascii="仿宋" w:hAnsi="仿宋" w:eastAsia="仿宋" w:cs="仿宋"/>
          <w:i w:val="0"/>
          <w:iCs w:val="0"/>
          <w:caps w:val="0"/>
          <w:color w:val="333333"/>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宣传期</w:t>
      </w: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w:t>
      </w: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2023年2月13日至2023年2月21日。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签约期：2023年2月22日至2023年2月28日。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九、超出签约期限搬迁的处理办法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房屋征收部门与被征收人在本方案确定的签约期限内达不成补偿协议的，在房屋货币补偿金额到位、提供安置型商品房、产权调换房屋或周转房的地点和面积后，由房屋征收部门报请做出房屋征收决定的人民政府按相关规定作出补偿决定，在补偿决定确定的搬迁期限内仍不搬迁的，由作出补偿决定的人民政府依法向法院申请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3.故意扰乱征收工作程序、煽动闹事、妨碍征收工作人员正常工作的，由公安机关按照《治安管理处罚法》规定处罚，构成犯罪的由司法机关追究刑事责任。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十、房屋搬迁程序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1.凡属国有公房的被征收人，应先向公房管理部门办理退租手续。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十一、</w:t>
      </w: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b/>
          <w:bCs/>
          <w:i w:val="0"/>
          <w:iCs w:val="0"/>
          <w:caps w:val="0"/>
          <w:color w:val="333333"/>
          <w:spacing w:val="0"/>
          <w:kern w:val="0"/>
          <w:sz w:val="28"/>
          <w:szCs w:val="28"/>
          <w:highlight w:val="none"/>
          <w:u w:val="none"/>
          <w:shd w:val="clear" w:color="auto" w:fill="FFFFFF"/>
          <w:lang w:val="en-US" w:eastAsia="zh-CN" w:bidi="ar"/>
        </w:rPr>
        <w:t>十二、投诉监督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 w:hAnsi="仿宋" w:eastAsia="仿宋" w:cs="仿宋"/>
          <w:i w:val="0"/>
          <w:iCs w:val="0"/>
          <w:caps w:val="0"/>
          <w:color w:val="333333"/>
          <w:spacing w:val="0"/>
          <w:sz w:val="28"/>
          <w:szCs w:val="28"/>
          <w:highlight w:val="none"/>
          <w:u w:val="none"/>
        </w:rPr>
      </w:pPr>
      <w:r>
        <w:rPr>
          <w:rFonts w:hint="eastAsia" w:ascii="仿宋" w:hAnsi="仿宋" w:eastAsia="仿宋" w:cs="仿宋"/>
          <w:i w:val="0"/>
          <w:iCs w:val="0"/>
          <w:caps w:val="0"/>
          <w:color w:val="333333"/>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u w:val="none"/>
        </w:rPr>
      </w:pPr>
    </w:p>
    <w:p>
      <w:pPr>
        <w:shd w:val="clear" w:color="auto" w:fill="FFFFFF"/>
        <w:spacing w:line="480" w:lineRule="exact"/>
        <w:ind w:right="240"/>
        <w:jc w:val="right"/>
        <w:rPr>
          <w:rFonts w:ascii="仿宋" w:hAnsi="仿宋" w:eastAsia="仿宋" w:cs="宋体"/>
          <w:color w:val="auto"/>
          <w:sz w:val="24"/>
          <w:szCs w:val="28"/>
          <w:highlight w:val="none"/>
          <w:shd w:val="clear" w:color="auto" w:fill="FFFFFF"/>
        </w:rPr>
      </w:pPr>
    </w:p>
    <w:p>
      <w:pPr>
        <w:spacing w:line="480" w:lineRule="exact"/>
        <w:jc w:val="center"/>
        <w:rPr>
          <w:rFonts w:ascii="仿宋" w:hAnsi="仿宋" w:eastAsia="仿宋" w:cs="宋体"/>
          <w:b/>
          <w:color w:val="auto"/>
          <w:kern w:val="0"/>
          <w:sz w:val="32"/>
          <w:szCs w:val="32"/>
          <w:highlight w:val="none"/>
          <w:shd w:val="clear" w:color="auto" w:fill="FFFFFF"/>
        </w:rPr>
      </w:pPr>
    </w:p>
    <w:p>
      <w:pPr>
        <w:spacing w:line="480" w:lineRule="exact"/>
        <w:jc w:val="center"/>
        <w:rPr>
          <w:rFonts w:ascii="仿宋" w:hAnsi="仿宋" w:eastAsia="仿宋" w:cs="宋体"/>
          <w:b/>
          <w:color w:val="auto"/>
          <w:kern w:val="0"/>
          <w:sz w:val="32"/>
          <w:szCs w:val="32"/>
          <w:highlight w:val="none"/>
          <w:shd w:val="clear" w:color="auto" w:fill="FFFFFF"/>
        </w:rPr>
      </w:pPr>
    </w:p>
    <w:p>
      <w:pPr>
        <w:spacing w:line="480" w:lineRule="exact"/>
        <w:jc w:val="center"/>
        <w:rPr>
          <w:rFonts w:ascii="仿宋" w:hAnsi="仿宋" w:eastAsia="仿宋" w:cs="宋体"/>
          <w:b/>
          <w:color w:val="auto"/>
          <w:kern w:val="0"/>
          <w:sz w:val="32"/>
          <w:szCs w:val="32"/>
          <w:highlight w:val="none"/>
          <w:shd w:val="clear" w:color="auto" w:fill="FFFFFF"/>
        </w:rPr>
      </w:pPr>
    </w:p>
    <w:p>
      <w:pPr>
        <w:spacing w:line="480" w:lineRule="exact"/>
        <w:jc w:val="center"/>
        <w:rPr>
          <w:rFonts w:ascii="仿宋" w:hAnsi="仿宋" w:eastAsia="仿宋" w:cs="宋体"/>
          <w:b/>
          <w:color w:val="auto"/>
          <w:kern w:val="0"/>
          <w:sz w:val="32"/>
          <w:szCs w:val="32"/>
          <w:highlight w:val="none"/>
          <w:shd w:val="clear" w:color="auto" w:fill="FFFFFF"/>
        </w:rPr>
      </w:pPr>
    </w:p>
    <w:p>
      <w:pPr>
        <w:shd w:val="clear" w:color="auto" w:fill="FFFFFF"/>
        <w:spacing w:line="480" w:lineRule="exact"/>
        <w:rPr>
          <w:rFonts w:ascii="仿宋" w:hAnsi="仿宋" w:eastAsia="仿宋" w:cs="宋体"/>
          <w:color w:val="333333"/>
          <w:sz w:val="24"/>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06F212E6"/>
    <w:rsid w:val="10EC6782"/>
    <w:rsid w:val="27CB6922"/>
    <w:rsid w:val="2B6E74E6"/>
    <w:rsid w:val="472659D8"/>
    <w:rsid w:val="5DD30734"/>
    <w:rsid w:val="772E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12232</Words>
  <Characters>12845</Characters>
  <Lines>5</Lines>
  <Paragraphs>1</Paragraphs>
  <TotalTime>2</TotalTime>
  <ScaleCrop>false</ScaleCrop>
  <LinksUpToDate>false</LinksUpToDate>
  <CharactersWithSpaces>13103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Administrator</cp:lastModifiedBy>
  <cp:lastPrinted>2020-05-09T03:30:00Z</cp:lastPrinted>
  <dcterms:modified xsi:type="dcterms:W3CDTF">2023-02-15T07:30:20Z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8D1A4AAC6B1D46249E0F6DA69A0980FB</vt:lpwstr>
  </property>
</Properties>
</file>