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附件</w:t>
      </w:r>
    </w:p>
    <w:p>
      <w:pPr>
        <w:rPr>
          <w:color w:val="00000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576" w:lineRule="atLeast"/>
        <w:ind w:left="0" w:right="0" w:firstLine="0"/>
        <w:jc w:val="center"/>
        <w:rPr>
          <w:rStyle w:val="5"/>
          <w:rFonts w:hint="eastAsia" w:ascii="宋体" w:hAnsi="宋体" w:eastAsia="宋体" w:cs="宋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44"/>
          <w:szCs w:val="44"/>
          <w:shd w:val="clear" w:color="auto" w:fill="FFFFFF"/>
        </w:rPr>
        <w:t>政府信息公开工作年度报告格式模板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根据《中华人民共和国政府信息公开条例》(以下简称《条例》)、《国务院办公厅政府信息与政务公开办公室关于印发&lt;</w:t>
      </w:r>
      <w:r>
        <w:rPr>
          <w:rFonts w:hint="eastAsia" w:ascii="仿宋_GB2312" w:hAnsi="仿宋_GB2312" w:eastAsia="仿宋_GB2312" w:cs="仿宋_GB2312"/>
          <w:snapToGrid w:val="0"/>
          <w:color w:val="000000"/>
          <w:spacing w:val="0"/>
          <w:kern w:val="0"/>
          <w:sz w:val="32"/>
          <w:szCs w:val="32"/>
          <w:lang w:val="en-US" w:eastAsia="zh-CN"/>
        </w:rPr>
        <w:t>中华人民共和国</w:t>
      </w:r>
      <w:r>
        <w:rPr>
          <w:rFonts w:hint="eastAsia" w:ascii="仿宋" w:hAnsi="仿宋" w:eastAsia="仿宋" w:cs="仿宋"/>
          <w:color w:val="000000"/>
          <w:sz w:val="32"/>
          <w:szCs w:val="32"/>
        </w:rPr>
        <w:t>政府信息公开工作年度报告格式&gt;的通知》(国</w:t>
      </w:r>
      <w:r>
        <w:rPr>
          <w:rFonts w:hint="eastAsia" w:ascii="仿宋_GB2312" w:hAnsi="仿宋_GB2312" w:eastAsia="仿宋_GB2312" w:cs="仿宋_GB2312"/>
          <w:snapToGrid w:val="0"/>
          <w:color w:val="000000"/>
          <w:spacing w:val="0"/>
          <w:kern w:val="0"/>
          <w:sz w:val="32"/>
          <w:szCs w:val="32"/>
          <w:lang w:val="en-US" w:eastAsia="zh-CN"/>
        </w:rPr>
        <w:t>办公开办函</w:t>
      </w:r>
      <w:r>
        <w:rPr>
          <w:rFonts w:hint="eastAsia" w:ascii="仿宋_GB2312" w:hAnsi="仿宋_GB2312" w:eastAsia="仿宋_GB2312" w:cs="仿宋_GB2312"/>
          <w:snapToGrid w:val="0"/>
          <w:color w:val="000000"/>
          <w:spacing w:val="0"/>
          <w:kern w:val="0"/>
          <w:sz w:val="32"/>
          <w:szCs w:val="32"/>
          <w:lang w:val="en-US" w:eastAsia="zh-CN"/>
        </w:rPr>
        <w:t>〔2021〕 30号)</w:t>
      </w:r>
      <w:r>
        <w:rPr>
          <w:rFonts w:hint="eastAsia" w:ascii="仿宋" w:hAnsi="仿宋" w:eastAsia="仿宋" w:cs="仿宋"/>
          <w:color w:val="000000"/>
          <w:sz w:val="32"/>
          <w:szCs w:val="32"/>
        </w:rPr>
        <w:t>、《关于做好2023年政府信息公开工作年度报告编制发布有关事项的通知》要求.....编制了本报告。本报告全文由总体情况、主</w:t>
      </w:r>
      <w:bookmarkStart w:id="0" w:name="_GoBack"/>
      <w:bookmarkEnd w:id="0"/>
      <w:r>
        <w:rPr>
          <w:rFonts w:hint="eastAsia" w:ascii="仿宋" w:hAnsi="仿宋" w:eastAsia="仿宋" w:cs="仿宋"/>
          <w:color w:val="000000"/>
          <w:sz w:val="32"/>
          <w:szCs w:val="32"/>
        </w:rPr>
        <w:t>动公开政府信息情况、收到和处理政府信息公开申请情况、政府信息公开行政复议、行政诉讼情况、存在的主要问题及改进情况、其他需要报告的事项等6个部分组成。本报告中所列数据的统计时限自2023年1月1日至2023年12月31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本报告在</w:t>
      </w:r>
      <w:r>
        <w:rPr>
          <w:rFonts w:hint="eastAsia" w:ascii="仿宋" w:hAnsi="仿宋" w:eastAsia="仿宋" w:cs="仿宋"/>
          <w:color w:val="000000"/>
          <w:sz w:val="32"/>
          <w:szCs w:val="32"/>
          <w:lang w:eastAsia="zh-CN"/>
        </w:rPr>
        <w:t>福州市台江区人民</w:t>
      </w:r>
      <w:r>
        <w:rPr>
          <w:rFonts w:hint="eastAsia" w:ascii="仿宋" w:hAnsi="仿宋" w:eastAsia="仿宋" w:cs="仿宋"/>
          <w:color w:val="000000"/>
          <w:sz w:val="32"/>
          <w:szCs w:val="32"/>
        </w:rPr>
        <w:t>政府网站</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(http://www.taijiang.gov.cn/)公布，对本报告如有疑问，</w:t>
      </w:r>
      <w:r>
        <w:rPr>
          <w:rFonts w:hint="eastAsia" w:ascii="仿宋" w:hAnsi="仿宋" w:eastAsia="仿宋" w:cs="仿宋"/>
          <w:color w:val="000000"/>
          <w:sz w:val="32"/>
          <w:szCs w:val="32"/>
          <w:lang w:eastAsia="zh-CN"/>
        </w:rPr>
        <w:t>可与</w:t>
      </w:r>
      <w:r>
        <w:rPr>
          <w:rFonts w:hint="eastAsia" w:ascii="仿宋" w:hAnsi="仿宋" w:eastAsia="仿宋" w:cs="仿宋"/>
          <w:color w:val="000000"/>
          <w:sz w:val="32"/>
          <w:szCs w:val="32"/>
        </w:rPr>
        <w:t>......联系(地址: ......</w:t>
      </w:r>
      <w:r>
        <w:rPr>
          <w:rFonts w:hint="eastAsia" w:ascii="仿宋" w:hAnsi="仿宋" w:eastAsia="仿宋" w:cs="仿宋"/>
          <w:color w:val="000000"/>
          <w:sz w:val="32"/>
          <w:szCs w:val="32"/>
          <w:lang w:eastAsia="zh-CN"/>
        </w:rPr>
        <w:t>，电话：</w:t>
      </w: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传</w:t>
      </w:r>
      <w:r>
        <w:rPr>
          <w:rFonts w:hint="eastAsia" w:ascii="仿宋" w:hAnsi="仿宋" w:eastAsia="仿宋" w:cs="仿宋"/>
          <w:color w:val="000000"/>
          <w:sz w:val="32"/>
          <w:szCs w:val="32"/>
          <w:lang w:eastAsia="zh-CN"/>
        </w:rPr>
        <w:t>真：</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一、总体情况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(总体情况要聚焦主题、简明客观，涵盖以下五个部分，篇幅原则不超一千字，内容不得与其他单位或往年雷同)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　　（一）主动公开情况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　　（二）依申请公开办理情况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　　（三）政府信息管理</w:t>
      </w:r>
      <w:r>
        <w:rPr>
          <w:rFonts w:hint="eastAsia" w:ascii="仿宋" w:hAnsi="仿宋" w:eastAsia="仿宋" w:cs="仿宋"/>
          <w:i w:val="0"/>
          <w:iCs w:val="0"/>
          <w:caps w:val="0"/>
          <w:color w:val="000000"/>
          <w:spacing w:val="0"/>
          <w:sz w:val="32"/>
          <w:szCs w:val="32"/>
          <w:shd w:val="clear" w:color="auto" w:fill="FFFFFF"/>
          <w:lang w:eastAsia="zh-CN"/>
        </w:rPr>
        <w:t>及</w:t>
      </w:r>
      <w:r>
        <w:rPr>
          <w:rFonts w:hint="eastAsia" w:ascii="仿宋" w:hAnsi="仿宋" w:eastAsia="仿宋" w:cs="仿宋"/>
          <w:i w:val="0"/>
          <w:iCs w:val="0"/>
          <w:caps w:val="0"/>
          <w:color w:val="000000"/>
          <w:spacing w:val="0"/>
          <w:sz w:val="32"/>
          <w:szCs w:val="32"/>
          <w:shd w:val="clear" w:color="auto" w:fill="FFFFFF"/>
        </w:rPr>
        <w:t>政府信息公开平台建设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i w:val="0"/>
          <w:iCs w:val="0"/>
          <w:caps w:val="0"/>
          <w:color w:val="000000"/>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lang w:eastAsia="zh-CN"/>
        </w:rPr>
        <w:t>（四）政务公开工作要点落实情况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（五）监督保障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宋体" w:hAnsi="宋体" w:eastAsia="宋体" w:cs="宋体"/>
          <w:i w:val="0"/>
          <w:iCs w:val="0"/>
          <w:caps w:val="0"/>
          <w:color w:val="000000"/>
          <w:spacing w:val="0"/>
          <w:sz w:val="24"/>
          <w:szCs w:val="24"/>
          <w:shd w:val="clear" w:color="auto" w:fill="FFFFFF"/>
        </w:rPr>
      </w:pPr>
      <w:r>
        <w:rPr>
          <w:rFonts w:hint="default" w:ascii="none" w:hAnsi="none" w:eastAsia="none" w:cs="none"/>
          <w:i w:val="0"/>
          <w:iCs w:val="0"/>
          <w:caps w:val="0"/>
          <w:color w:val="000000"/>
          <w:spacing w:val="0"/>
          <w:sz w:val="21"/>
          <w:szCs w:val="21"/>
          <w:shd w:val="clear" w:color="auto" w:fill="FFFFFF"/>
        </w:rPr>
        <w:t>　</w:t>
      </w:r>
      <w:r>
        <w:rPr>
          <w:rFonts w:hint="eastAsia" w:ascii="黑体" w:hAnsi="宋体" w:eastAsia="黑体" w:cs="黑体"/>
          <w:i w:val="0"/>
          <w:iCs w:val="0"/>
          <w:caps w:val="0"/>
          <w:color w:val="000000"/>
          <w:spacing w:val="0"/>
          <w:sz w:val="24"/>
          <w:szCs w:val="24"/>
          <w:shd w:val="clear" w:color="auto" w:fill="FFFFFF"/>
        </w:rPr>
        <w:t>　</w:t>
      </w:r>
      <w:r>
        <w:rPr>
          <w:rFonts w:hint="eastAsia" w:ascii="黑体" w:hAnsi="宋体" w:eastAsia="黑体" w:cs="黑体"/>
          <w:i w:val="0"/>
          <w:iCs w:val="0"/>
          <w:caps w:val="0"/>
          <w:color w:val="000000"/>
          <w:spacing w:val="0"/>
          <w:sz w:val="32"/>
          <w:szCs w:val="32"/>
          <w:shd w:val="clear" w:color="auto" w:fill="FFFFFF"/>
        </w:rPr>
        <w:t>　二、主动公开政府信息情况</w:t>
      </w:r>
      <w:r>
        <w:rPr>
          <w:rFonts w:hint="eastAsia" w:ascii="宋体" w:hAnsi="宋体" w:eastAsia="宋体" w:cs="宋体"/>
          <w:i w:val="0"/>
          <w:iCs w:val="0"/>
          <w:caps w:val="0"/>
          <w:color w:val="000000"/>
          <w:spacing w:val="0"/>
          <w:sz w:val="24"/>
          <w:szCs w:val="24"/>
          <w:shd w:val="clear" w:color="auto"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color="auto" w:fill="FFFFFF"/>
          <w:lang w:eastAsia="zh-CN"/>
        </w:rPr>
        <w:t>（数据包括已公开和依法未公开的全部处理决定，没有数据的填写</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lang w:eastAsia="zh-CN"/>
        </w:rPr>
        <w:t>）</w:t>
      </w:r>
    </w:p>
    <w:tbl>
      <w:tblPr>
        <w:tblStyle w:val="3"/>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058"/>
        <w:gridCol w:w="2104"/>
        <w:gridCol w:w="2104"/>
        <w:gridCol w:w="20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9735" w:type="dxa"/>
            <w:gridSpan w:val="4"/>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第二十条第（一）项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信息内容 </w:t>
            </w:r>
          </w:p>
        </w:tc>
        <w:tc>
          <w:tcPr>
            <w:tcW w:w="24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本年制发件数 </w:t>
            </w:r>
          </w:p>
        </w:tc>
        <w:tc>
          <w:tcPr>
            <w:tcW w:w="24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本年废止件数 </w:t>
            </w:r>
          </w:p>
        </w:tc>
        <w:tc>
          <w:tcPr>
            <w:tcW w:w="24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现行有效件数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规章 </w:t>
            </w:r>
          </w:p>
        </w:tc>
        <w:tc>
          <w:tcPr>
            <w:tcW w:w="24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24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24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行政规范性文件 </w:t>
            </w:r>
          </w:p>
        </w:tc>
        <w:tc>
          <w:tcPr>
            <w:tcW w:w="24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24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24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9735" w:type="dxa"/>
            <w:gridSpan w:val="4"/>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第二十条第（五）项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信息内容 </w:t>
            </w:r>
          </w:p>
        </w:tc>
        <w:tc>
          <w:tcPr>
            <w:tcW w:w="7305" w:type="dxa"/>
            <w:gridSpan w:val="3"/>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本年处理决定数量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行政许可 </w:t>
            </w:r>
          </w:p>
        </w:tc>
        <w:tc>
          <w:tcPr>
            <w:tcW w:w="7305" w:type="dxa"/>
            <w:gridSpan w:val="3"/>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9735" w:type="dxa"/>
            <w:gridSpan w:val="4"/>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第二十条第（六）项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信息内容 </w:t>
            </w:r>
          </w:p>
        </w:tc>
        <w:tc>
          <w:tcPr>
            <w:tcW w:w="7305" w:type="dxa"/>
            <w:gridSpan w:val="3"/>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本年处理决定数量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行政处罚 </w:t>
            </w:r>
          </w:p>
        </w:tc>
        <w:tc>
          <w:tcPr>
            <w:tcW w:w="7305" w:type="dxa"/>
            <w:gridSpan w:val="3"/>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行政强制 </w:t>
            </w:r>
          </w:p>
        </w:tc>
        <w:tc>
          <w:tcPr>
            <w:tcW w:w="7305" w:type="dxa"/>
            <w:gridSpan w:val="3"/>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9735" w:type="dxa"/>
            <w:gridSpan w:val="4"/>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第二十条第（八）项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信息内容 </w:t>
            </w:r>
          </w:p>
        </w:tc>
        <w:tc>
          <w:tcPr>
            <w:tcW w:w="7305" w:type="dxa"/>
            <w:gridSpan w:val="3"/>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本年收费金额（单位：万元）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行政事业性收费 </w:t>
            </w:r>
          </w:p>
        </w:tc>
        <w:tc>
          <w:tcPr>
            <w:tcW w:w="7305" w:type="dxa"/>
            <w:gridSpan w:val="3"/>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color="auto" w:fill="FFFFFF"/>
        </w:rPr>
        <w:t>　</w:t>
      </w:r>
      <w:r>
        <w:rPr>
          <w:rFonts w:hint="eastAsia" w:ascii="宋体" w:hAnsi="宋体" w:eastAsia="宋体" w:cs="宋体"/>
          <w:i w:val="0"/>
          <w:iCs w:val="0"/>
          <w:caps w:val="0"/>
          <w:color w:val="000000"/>
          <w:spacing w:val="0"/>
          <w:sz w:val="32"/>
          <w:szCs w:val="32"/>
          <w:shd w:val="clear" w:color="auto" w:fill="FFFFFF"/>
          <w:lang w:val="en-US" w:eastAsia="zh-CN"/>
        </w:rPr>
        <w:t xml:space="preserve">  </w:t>
      </w:r>
      <w:r>
        <w:rPr>
          <w:rFonts w:hint="eastAsia" w:ascii="黑体" w:hAnsi="宋体" w:eastAsia="黑体" w:cs="黑体"/>
          <w:i w:val="0"/>
          <w:iCs w:val="0"/>
          <w:caps w:val="0"/>
          <w:color w:val="000000"/>
          <w:spacing w:val="0"/>
          <w:sz w:val="32"/>
          <w:szCs w:val="32"/>
          <w:shd w:val="clear" w:color="auto" w:fill="FFFFFF"/>
        </w:rPr>
        <w:t>三、收到和处理政府信息公开申请情况 </w:t>
      </w:r>
    </w:p>
    <w:tbl>
      <w:tblPr>
        <w:tblStyle w:val="3"/>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71"/>
        <w:gridCol w:w="866"/>
        <w:gridCol w:w="2347"/>
        <w:gridCol w:w="627"/>
        <w:gridCol w:w="627"/>
        <w:gridCol w:w="627"/>
        <w:gridCol w:w="627"/>
        <w:gridCol w:w="627"/>
        <w:gridCol w:w="654"/>
        <w:gridCol w:w="6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145" w:type="dxa"/>
            <w:gridSpan w:val="3"/>
            <w:vMerge w:val="restart"/>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ascii="楷体" w:hAnsi="楷体" w:eastAsia="楷体" w:cs="楷体"/>
                <w:i w:val="0"/>
                <w:iCs w:val="0"/>
                <w:color w:val="000000"/>
                <w:sz w:val="24"/>
                <w:szCs w:val="24"/>
              </w:rPr>
              <w:t>（本列数据的勾稽关系为：第一项加第二项之和，等于第三项加第四项之和）</w:t>
            </w:r>
            <w:r>
              <w:rPr>
                <w:rFonts w:hint="eastAsia" w:ascii="宋体" w:hAnsi="宋体" w:eastAsia="宋体" w:cs="宋体"/>
                <w:i w:val="0"/>
                <w:iCs w:val="0"/>
                <w:color w:val="000000"/>
                <w:sz w:val="24"/>
                <w:szCs w:val="24"/>
              </w:rPr>
              <w:t> </w:t>
            </w:r>
          </w:p>
        </w:tc>
        <w:tc>
          <w:tcPr>
            <w:tcW w:w="4995" w:type="dxa"/>
            <w:gridSpan w:val="7"/>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申请人情况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145"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705" w:type="dxa"/>
            <w:vMerge w:val="restart"/>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自然人 </w:t>
            </w:r>
          </w:p>
        </w:tc>
        <w:tc>
          <w:tcPr>
            <w:tcW w:w="3570" w:type="dxa"/>
            <w:gridSpan w:val="5"/>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法人或其他组织 </w:t>
            </w:r>
          </w:p>
        </w:tc>
        <w:tc>
          <w:tcPr>
            <w:tcW w:w="705" w:type="dxa"/>
            <w:vMerge w:val="restart"/>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总计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145"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705"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商业企业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科研机构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社会公组织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法律服机构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其他 </w:t>
            </w:r>
          </w:p>
        </w:tc>
        <w:tc>
          <w:tcPr>
            <w:tcW w:w="705"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145" w:type="dxa"/>
            <w:gridSpan w:val="3"/>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一、本年新收政府信息公开申请数量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145" w:type="dxa"/>
            <w:gridSpan w:val="3"/>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二、上年结转政府信息公开申请数量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80" w:type="dxa"/>
            <w:vMerge w:val="restart"/>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三、本年度办理结果 </w:t>
            </w:r>
          </w:p>
        </w:tc>
        <w:tc>
          <w:tcPr>
            <w:tcW w:w="4365" w:type="dxa"/>
            <w:gridSpan w:val="2"/>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（一）予以公开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4365" w:type="dxa"/>
            <w:gridSpan w:val="2"/>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（二）部分公开</w:t>
            </w:r>
            <w:r>
              <w:rPr>
                <w:rFonts w:hint="eastAsia" w:ascii="楷体" w:hAnsi="楷体" w:eastAsia="楷体" w:cs="楷体"/>
                <w:i w:val="0"/>
                <w:iCs w:val="0"/>
                <w:color w:val="000000"/>
                <w:sz w:val="24"/>
                <w:szCs w:val="24"/>
              </w:rPr>
              <w:t>（区分处理的，只计这一情形，不计其他情形）</w:t>
            </w: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945" w:type="dxa"/>
            <w:vMerge w:val="restart"/>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（三）不予公开 </w:t>
            </w:r>
          </w:p>
        </w:tc>
        <w:tc>
          <w:tcPr>
            <w:tcW w:w="34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1.属于国家秘密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945"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34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2.其他法律行政法规禁止公开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945"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34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3.危及“三安全一稳定”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945"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34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4.保护第三方合法权益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945"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34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5.属于三类内部事务信息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945"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34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6.属于四类过程性信息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945"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34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7.属于行政执法案卷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945"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34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8.属于行政查询事项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945" w:type="dxa"/>
            <w:vMerge w:val="restart"/>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（四）无法提供 </w:t>
            </w:r>
          </w:p>
        </w:tc>
        <w:tc>
          <w:tcPr>
            <w:tcW w:w="34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1.本机关不掌握相关政府信息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945"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34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2.没有现成信息需要另行制作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945"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34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3.补正后申请内容仍不明确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945" w:type="dxa"/>
            <w:vMerge w:val="restart"/>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（五）不予处理 </w:t>
            </w:r>
          </w:p>
        </w:tc>
        <w:tc>
          <w:tcPr>
            <w:tcW w:w="34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1.信访举报投诉类申请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945"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34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2.重复申请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945"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34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3.要求提供公开出版物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945"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34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4.无正当理由大量反复申请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945"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34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5.要求行政机关确认或重新出具已获取信息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945" w:type="dxa"/>
            <w:vMerge w:val="restart"/>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（六）其他处理 </w:t>
            </w:r>
          </w:p>
        </w:tc>
        <w:tc>
          <w:tcPr>
            <w:tcW w:w="34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1.申请人无正当理由逾期不补正、行政机关不再处理其政府信息公开申请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945"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34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2.申请人逾期未按收费通知要求缴纳费用、行政机关不再处理其政府信息公开申请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945"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34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3.其他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4365" w:type="dxa"/>
            <w:gridSpan w:val="2"/>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（七）总计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145" w:type="dxa"/>
            <w:gridSpan w:val="3"/>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四、结转下年度继续办理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705"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20" w:lineRule="exact"/>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color="auto" w:fill="FFFFFF"/>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color="auto" w:fill="FFFFFF"/>
        </w:rPr>
        <w:t>　　</w:t>
      </w:r>
      <w:r>
        <w:rPr>
          <w:rFonts w:hint="eastAsia" w:ascii="黑体" w:hAnsi="宋体" w:eastAsia="黑体" w:cs="黑体"/>
          <w:i w:val="0"/>
          <w:iCs w:val="0"/>
          <w:caps w:val="0"/>
          <w:color w:val="000000"/>
          <w:spacing w:val="0"/>
          <w:sz w:val="32"/>
          <w:szCs w:val="32"/>
          <w:shd w:val="clear" w:color="auto" w:fill="FFFFFF"/>
        </w:rPr>
        <w:t>四、政府信息公开行政复议、行政诉讼情况</w:t>
      </w:r>
      <w:r>
        <w:rPr>
          <w:rFonts w:hint="eastAsia" w:ascii="宋体" w:hAnsi="宋体" w:eastAsia="宋体" w:cs="宋体"/>
          <w:i w:val="0"/>
          <w:iCs w:val="0"/>
          <w:caps w:val="0"/>
          <w:color w:val="000000"/>
          <w:spacing w:val="0"/>
          <w:sz w:val="32"/>
          <w:szCs w:val="32"/>
          <w:shd w:val="clear" w:color="auto" w:fill="FFFFFF"/>
        </w:rPr>
        <w:t> </w:t>
      </w:r>
    </w:p>
    <w:tbl>
      <w:tblPr>
        <w:tblStyle w:val="3"/>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51"/>
        <w:gridCol w:w="551"/>
        <w:gridCol w:w="551"/>
        <w:gridCol w:w="551"/>
        <w:gridCol w:w="572"/>
        <w:gridCol w:w="552"/>
        <w:gridCol w:w="552"/>
        <w:gridCol w:w="552"/>
        <w:gridCol w:w="552"/>
        <w:gridCol w:w="572"/>
        <w:gridCol w:w="552"/>
        <w:gridCol w:w="552"/>
        <w:gridCol w:w="552"/>
        <w:gridCol w:w="552"/>
        <w:gridCol w:w="5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210" w:type="dxa"/>
            <w:gridSpan w:val="5"/>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行政复议 </w:t>
            </w:r>
          </w:p>
        </w:tc>
        <w:tc>
          <w:tcPr>
            <w:tcW w:w="6420" w:type="dxa"/>
            <w:gridSpan w:val="10"/>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行政诉讼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30" w:type="dxa"/>
            <w:vMerge w:val="restart"/>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结果维持 </w:t>
            </w:r>
          </w:p>
        </w:tc>
        <w:tc>
          <w:tcPr>
            <w:tcW w:w="630" w:type="dxa"/>
            <w:vMerge w:val="restart"/>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结果</w:t>
            </w:r>
            <w:r>
              <w:rPr>
                <w:rFonts w:hint="eastAsia" w:ascii="宋体" w:hAnsi="宋体" w:eastAsia="宋体" w:cs="宋体"/>
                <w:i w:val="0"/>
                <w:iCs w:val="0"/>
                <w:color w:val="000000"/>
                <w:sz w:val="24"/>
                <w:szCs w:val="24"/>
              </w:rPr>
              <w:br w:type="textWrapping"/>
            </w:r>
            <w:r>
              <w:rPr>
                <w:rFonts w:hint="eastAsia" w:ascii="宋体" w:hAnsi="宋体" w:eastAsia="宋体" w:cs="宋体"/>
                <w:i w:val="0"/>
                <w:iCs w:val="0"/>
                <w:color w:val="000000"/>
                <w:sz w:val="24"/>
                <w:szCs w:val="24"/>
              </w:rPr>
              <w:t>纠正 </w:t>
            </w:r>
          </w:p>
        </w:tc>
        <w:tc>
          <w:tcPr>
            <w:tcW w:w="630" w:type="dxa"/>
            <w:vMerge w:val="restart"/>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其他</w:t>
            </w:r>
            <w:r>
              <w:rPr>
                <w:rFonts w:hint="eastAsia" w:ascii="宋体" w:hAnsi="宋体" w:eastAsia="宋体" w:cs="宋体"/>
                <w:i w:val="0"/>
                <w:iCs w:val="0"/>
                <w:color w:val="000000"/>
                <w:sz w:val="24"/>
                <w:szCs w:val="24"/>
              </w:rPr>
              <w:br w:type="textWrapping"/>
            </w:r>
            <w:r>
              <w:rPr>
                <w:rFonts w:hint="eastAsia" w:ascii="宋体" w:hAnsi="宋体" w:eastAsia="宋体" w:cs="宋体"/>
                <w:i w:val="0"/>
                <w:iCs w:val="0"/>
                <w:color w:val="000000"/>
                <w:sz w:val="24"/>
                <w:szCs w:val="24"/>
              </w:rPr>
              <w:t>结果 </w:t>
            </w:r>
          </w:p>
        </w:tc>
        <w:tc>
          <w:tcPr>
            <w:tcW w:w="630" w:type="dxa"/>
            <w:vMerge w:val="restart"/>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尚未</w:t>
            </w:r>
            <w:r>
              <w:rPr>
                <w:rFonts w:hint="eastAsia" w:ascii="宋体" w:hAnsi="宋体" w:eastAsia="宋体" w:cs="宋体"/>
                <w:i w:val="0"/>
                <w:iCs w:val="0"/>
                <w:color w:val="000000"/>
                <w:sz w:val="24"/>
                <w:szCs w:val="24"/>
              </w:rPr>
              <w:br w:type="textWrapping"/>
            </w:r>
            <w:r>
              <w:rPr>
                <w:rFonts w:hint="eastAsia" w:ascii="宋体" w:hAnsi="宋体" w:eastAsia="宋体" w:cs="宋体"/>
                <w:i w:val="0"/>
                <w:iCs w:val="0"/>
                <w:color w:val="000000"/>
                <w:sz w:val="24"/>
                <w:szCs w:val="24"/>
              </w:rPr>
              <w:t>审结 </w:t>
            </w:r>
          </w:p>
        </w:tc>
        <w:tc>
          <w:tcPr>
            <w:tcW w:w="630" w:type="dxa"/>
            <w:vMerge w:val="restart"/>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总计 </w:t>
            </w:r>
          </w:p>
        </w:tc>
        <w:tc>
          <w:tcPr>
            <w:tcW w:w="3210" w:type="dxa"/>
            <w:gridSpan w:val="5"/>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未经复议直接起诉 </w:t>
            </w:r>
          </w:p>
        </w:tc>
        <w:tc>
          <w:tcPr>
            <w:tcW w:w="3210" w:type="dxa"/>
            <w:gridSpan w:val="5"/>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复议后起诉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30"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630"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630"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630"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630" w:type="dxa"/>
            <w:vMerge w:val="continue"/>
            <w:noWrap w:val="0"/>
            <w:vAlign w:val="center"/>
          </w:tcPr>
          <w:p>
            <w:pPr>
              <w:keepNext w:val="0"/>
              <w:keepLines w:val="0"/>
              <w:pageBreakBefore w:val="0"/>
              <w:kinsoku/>
              <w:wordWrap/>
              <w:overflowPunct/>
              <w:topLinePunct w:val="0"/>
              <w:autoSpaceDE/>
              <w:autoSpaceDN/>
              <w:bidi w:val="0"/>
              <w:adjustRightInd/>
              <w:snapToGrid/>
              <w:spacing w:after="0" w:line="520" w:lineRule="exact"/>
              <w:ind w:left="0"/>
              <w:textAlignment w:val="auto"/>
              <w:rPr>
                <w:rFonts w:hint="eastAsia" w:ascii="宋体"/>
                <w:i w:val="0"/>
                <w:iCs w:val="0"/>
                <w:color w:val="000000"/>
                <w:sz w:val="24"/>
                <w:szCs w:val="24"/>
              </w:rPr>
            </w:pPr>
          </w:p>
        </w:tc>
        <w:tc>
          <w:tcPr>
            <w:tcW w:w="6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结果</w:t>
            </w:r>
            <w:r>
              <w:rPr>
                <w:rFonts w:hint="eastAsia" w:ascii="宋体" w:hAnsi="宋体" w:eastAsia="宋体" w:cs="宋体"/>
                <w:i w:val="0"/>
                <w:iCs w:val="0"/>
                <w:color w:val="000000"/>
                <w:sz w:val="24"/>
                <w:szCs w:val="24"/>
              </w:rPr>
              <w:br w:type="textWrapping"/>
            </w:r>
            <w:r>
              <w:rPr>
                <w:rFonts w:hint="eastAsia" w:ascii="宋体" w:hAnsi="宋体" w:eastAsia="宋体" w:cs="宋体"/>
                <w:i w:val="0"/>
                <w:iCs w:val="0"/>
                <w:color w:val="000000"/>
                <w:sz w:val="24"/>
                <w:szCs w:val="24"/>
              </w:rPr>
              <w:t>维持 </w:t>
            </w:r>
          </w:p>
        </w:tc>
        <w:tc>
          <w:tcPr>
            <w:tcW w:w="6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结果</w:t>
            </w:r>
            <w:r>
              <w:rPr>
                <w:rFonts w:hint="eastAsia" w:ascii="宋体" w:hAnsi="宋体" w:eastAsia="宋体" w:cs="宋体"/>
                <w:i w:val="0"/>
                <w:iCs w:val="0"/>
                <w:color w:val="000000"/>
                <w:sz w:val="24"/>
                <w:szCs w:val="24"/>
              </w:rPr>
              <w:br w:type="textWrapping"/>
            </w:r>
            <w:r>
              <w:rPr>
                <w:rFonts w:hint="eastAsia" w:ascii="宋体" w:hAnsi="宋体" w:eastAsia="宋体" w:cs="宋体"/>
                <w:i w:val="0"/>
                <w:iCs w:val="0"/>
                <w:color w:val="000000"/>
                <w:sz w:val="24"/>
                <w:szCs w:val="24"/>
              </w:rPr>
              <w:t>纠正 </w:t>
            </w:r>
          </w:p>
        </w:tc>
        <w:tc>
          <w:tcPr>
            <w:tcW w:w="6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其他</w:t>
            </w:r>
            <w:r>
              <w:rPr>
                <w:rFonts w:hint="eastAsia" w:ascii="宋体" w:hAnsi="宋体" w:eastAsia="宋体" w:cs="宋体"/>
                <w:i w:val="0"/>
                <w:iCs w:val="0"/>
                <w:color w:val="000000"/>
                <w:sz w:val="24"/>
                <w:szCs w:val="24"/>
              </w:rPr>
              <w:br w:type="textWrapping"/>
            </w:r>
            <w:r>
              <w:rPr>
                <w:rFonts w:hint="eastAsia" w:ascii="宋体" w:hAnsi="宋体" w:eastAsia="宋体" w:cs="宋体"/>
                <w:i w:val="0"/>
                <w:iCs w:val="0"/>
                <w:color w:val="000000"/>
                <w:sz w:val="24"/>
                <w:szCs w:val="24"/>
              </w:rPr>
              <w:t>结果 </w:t>
            </w:r>
          </w:p>
        </w:tc>
        <w:tc>
          <w:tcPr>
            <w:tcW w:w="6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尚未</w:t>
            </w:r>
            <w:r>
              <w:rPr>
                <w:rFonts w:hint="eastAsia" w:ascii="宋体" w:hAnsi="宋体" w:eastAsia="宋体" w:cs="宋体"/>
                <w:i w:val="0"/>
                <w:iCs w:val="0"/>
                <w:color w:val="000000"/>
                <w:sz w:val="24"/>
                <w:szCs w:val="24"/>
              </w:rPr>
              <w:br w:type="textWrapping"/>
            </w:r>
            <w:r>
              <w:rPr>
                <w:rFonts w:hint="eastAsia" w:ascii="宋体" w:hAnsi="宋体" w:eastAsia="宋体" w:cs="宋体"/>
                <w:i w:val="0"/>
                <w:iCs w:val="0"/>
                <w:color w:val="000000"/>
                <w:sz w:val="24"/>
                <w:szCs w:val="24"/>
              </w:rPr>
              <w:t>审结 </w:t>
            </w:r>
          </w:p>
        </w:tc>
        <w:tc>
          <w:tcPr>
            <w:tcW w:w="6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总计 </w:t>
            </w:r>
          </w:p>
        </w:tc>
        <w:tc>
          <w:tcPr>
            <w:tcW w:w="6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结果</w:t>
            </w:r>
            <w:r>
              <w:rPr>
                <w:rFonts w:hint="eastAsia" w:ascii="宋体" w:hAnsi="宋体" w:eastAsia="宋体" w:cs="宋体"/>
                <w:i w:val="0"/>
                <w:iCs w:val="0"/>
                <w:color w:val="000000"/>
                <w:sz w:val="24"/>
                <w:szCs w:val="24"/>
              </w:rPr>
              <w:br w:type="textWrapping"/>
            </w:r>
            <w:r>
              <w:rPr>
                <w:rFonts w:hint="eastAsia" w:ascii="宋体" w:hAnsi="宋体" w:eastAsia="宋体" w:cs="宋体"/>
                <w:i w:val="0"/>
                <w:iCs w:val="0"/>
                <w:color w:val="000000"/>
                <w:sz w:val="24"/>
                <w:szCs w:val="24"/>
              </w:rPr>
              <w:t>维持 </w:t>
            </w:r>
          </w:p>
        </w:tc>
        <w:tc>
          <w:tcPr>
            <w:tcW w:w="6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结果</w:t>
            </w:r>
            <w:r>
              <w:rPr>
                <w:rFonts w:hint="eastAsia" w:ascii="宋体" w:hAnsi="宋体" w:eastAsia="宋体" w:cs="宋体"/>
                <w:i w:val="0"/>
                <w:iCs w:val="0"/>
                <w:color w:val="000000"/>
                <w:sz w:val="24"/>
                <w:szCs w:val="24"/>
              </w:rPr>
              <w:br w:type="textWrapping"/>
            </w:r>
            <w:r>
              <w:rPr>
                <w:rFonts w:hint="eastAsia" w:ascii="宋体" w:hAnsi="宋体" w:eastAsia="宋体" w:cs="宋体"/>
                <w:i w:val="0"/>
                <w:iCs w:val="0"/>
                <w:color w:val="000000"/>
                <w:sz w:val="24"/>
                <w:szCs w:val="24"/>
              </w:rPr>
              <w:t>纠正 </w:t>
            </w:r>
          </w:p>
        </w:tc>
        <w:tc>
          <w:tcPr>
            <w:tcW w:w="6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其他</w:t>
            </w:r>
            <w:r>
              <w:rPr>
                <w:rFonts w:hint="eastAsia" w:ascii="宋体" w:hAnsi="宋体" w:eastAsia="宋体" w:cs="宋体"/>
                <w:i w:val="0"/>
                <w:iCs w:val="0"/>
                <w:color w:val="000000"/>
                <w:sz w:val="24"/>
                <w:szCs w:val="24"/>
              </w:rPr>
              <w:br w:type="textWrapping"/>
            </w:r>
            <w:r>
              <w:rPr>
                <w:rFonts w:hint="eastAsia" w:ascii="宋体" w:hAnsi="宋体" w:eastAsia="宋体" w:cs="宋体"/>
                <w:i w:val="0"/>
                <w:iCs w:val="0"/>
                <w:color w:val="000000"/>
                <w:sz w:val="24"/>
                <w:szCs w:val="24"/>
              </w:rPr>
              <w:t>结果 </w:t>
            </w:r>
          </w:p>
        </w:tc>
        <w:tc>
          <w:tcPr>
            <w:tcW w:w="6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尚未</w:t>
            </w:r>
            <w:r>
              <w:rPr>
                <w:rFonts w:hint="eastAsia" w:ascii="宋体" w:hAnsi="宋体" w:eastAsia="宋体" w:cs="宋体"/>
                <w:i w:val="0"/>
                <w:iCs w:val="0"/>
                <w:color w:val="000000"/>
                <w:sz w:val="24"/>
                <w:szCs w:val="24"/>
              </w:rPr>
              <w:br w:type="textWrapping"/>
            </w:r>
            <w:r>
              <w:rPr>
                <w:rFonts w:hint="eastAsia" w:ascii="宋体" w:hAnsi="宋体" w:eastAsia="宋体" w:cs="宋体"/>
                <w:i w:val="0"/>
                <w:iCs w:val="0"/>
                <w:color w:val="000000"/>
                <w:sz w:val="24"/>
                <w:szCs w:val="24"/>
              </w:rPr>
              <w:t>审结 </w:t>
            </w:r>
          </w:p>
        </w:tc>
        <w:tc>
          <w:tcPr>
            <w:tcW w:w="6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总计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6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6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6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6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6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6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6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6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6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6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6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6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6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c>
          <w:tcPr>
            <w:tcW w:w="63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 </w:t>
            </w: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Chars="0" w:right="0" w:rightChars="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存在的主要问题及改进情况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lang w:eastAsia="zh-CN"/>
        </w:rPr>
        <w:t>(这一项主要报告本机关上一年度政府信息公开工作中存在的主要问题及改进情况。此项内容重在实事求是、明确具体，避免笼统模糊、泛泛而谈。查找问题要有针对性，改进举措要有实效性，不得出现敷行了事甚至年年雷同现象)</w:t>
      </w:r>
      <w:r>
        <w:rPr>
          <w:rFonts w:hint="eastAsia" w:ascii="仿宋" w:hAnsi="仿宋" w:eastAsia="仿宋" w:cs="仿宋"/>
          <w:i w:val="0"/>
          <w:iCs w:val="0"/>
          <w:caps w:val="0"/>
          <w:color w:val="000000"/>
          <w:spacing w:val="0"/>
          <w:sz w:val="32"/>
          <w:szCs w:val="32"/>
          <w:shd w:val="clear" w:color="auto" w:fill="FFFFFF"/>
          <w:lang w:eastAsia="zh-CN"/>
        </w:rPr>
        <w:br w:type="textWrapping"/>
      </w:r>
      <w:r>
        <w:rPr>
          <w:rFonts w:hint="eastAsia" w:ascii="宋体" w:hAnsi="宋体" w:cs="宋体"/>
          <w:color w:val="000000"/>
          <w:sz w:val="24"/>
          <w:szCs w:val="24"/>
          <w:lang w:val="en-US" w:eastAsia="zh-CN"/>
        </w:rPr>
        <w:t xml:space="preserve">     </w:t>
      </w:r>
      <w:r>
        <w:rPr>
          <w:rFonts w:hint="eastAsia" w:ascii="黑体" w:hAnsi="黑体" w:eastAsia="黑体" w:cs="黑体"/>
          <w:color w:val="000000"/>
          <w:sz w:val="32"/>
          <w:szCs w:val="32"/>
        </w:rPr>
        <w:t>六、其他需要报告的事项</w:t>
      </w:r>
      <w:r>
        <w:rPr>
          <w:rFonts w:hint="eastAsia" w:ascii="黑体" w:hAnsi="黑体" w:eastAsia="黑体" w:cs="黑体"/>
          <w:color w:val="000000"/>
          <w:sz w:val="32"/>
          <w:szCs w:val="32"/>
        </w:rPr>
        <w:br w:type="textWrapping"/>
      </w:r>
      <w:r>
        <w:rPr>
          <w:rFonts w:hint="eastAsia" w:ascii="黑体" w:hAnsi="黑体" w:eastAsia="黑体" w:cs="黑体"/>
          <w:color w:val="000000"/>
          <w:sz w:val="32"/>
          <w:szCs w:val="32"/>
          <w:lang w:val="en-US" w:eastAsia="zh-CN"/>
        </w:rPr>
        <w:t xml:space="preserve"> </w:t>
      </w:r>
      <w:r>
        <w:rPr>
          <w:rFonts w:hint="eastAsia" w:ascii="仿宋" w:hAnsi="仿宋" w:eastAsia="仿宋" w:cs="仿宋"/>
          <w:i w:val="0"/>
          <w:iCs w:val="0"/>
          <w:caps w:val="0"/>
          <w:color w:val="000000"/>
          <w:spacing w:val="0"/>
          <w:sz w:val="32"/>
          <w:szCs w:val="32"/>
          <w:shd w:val="clear" w:color="auto" w:fill="FFFFFF"/>
          <w:lang w:val="en-US" w:eastAsia="zh-CN"/>
        </w:rPr>
        <w:t xml:space="preserve">  </w:t>
      </w:r>
      <w:r>
        <w:rPr>
          <w:rFonts w:hint="eastAsia" w:ascii="仿宋" w:hAnsi="仿宋" w:eastAsia="仿宋" w:cs="仿宋"/>
          <w:i w:val="0"/>
          <w:iCs w:val="0"/>
          <w:caps w:val="0"/>
          <w:color w:val="000000"/>
          <w:spacing w:val="0"/>
          <w:sz w:val="32"/>
          <w:szCs w:val="32"/>
          <w:shd w:val="clear" w:color="auto" w:fill="FFFFFF"/>
          <w:lang w:eastAsia="zh-CN"/>
        </w:rPr>
        <w:t>(这一项主要报告收取信息处理费情况、以及其他有关文件专门要求通过政府信息公开工作年度报告予以报告的事项，若无此项内容，填写“2023年，无收取信息处理费情况。”即可)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none">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1OGQzMjY0ODRjNTk0ODU4NTVkMjUyZTkyNDZhYTkifQ=="/>
  </w:docVars>
  <w:rsids>
    <w:rsidRoot w:val="00000000"/>
    <w:rsid w:val="2EB52A70"/>
    <w:rsid w:val="42CD6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2024-02-02T08:42:00Z</dcterms:created>
  <dc:creator>hp</dc:creator>
  <cp:lastModifiedBy>hp</cp:lastModifiedBy>
  <dcterms:modified xsi:type="dcterms:W3CDTF">2024-02-02T08:44:04Z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D95836192E834E4D8AAE08E3B7406496_12</vt:lpwstr>
  </property>
</Properties>
</file>