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67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7"/>
      </w:tblGrid>
      <w:tr w:rsidR="007C1902">
        <w:trPr>
          <w:trHeight w:val="13292"/>
        </w:trPr>
        <w:tc>
          <w:tcPr>
            <w:tcW w:w="8467" w:type="dxa"/>
          </w:tcPr>
          <w:p w:rsidR="007C1902" w:rsidRDefault="003B0E8C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县级环境保护行政主管部门审批（审查）意见：</w:t>
            </w:r>
          </w:p>
          <w:p w:rsidR="007C1902" w:rsidRDefault="003B0E8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                                                         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台环保审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[2021]1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号</w:t>
            </w:r>
          </w:p>
          <w:p w:rsidR="007C1902" w:rsidRDefault="003B0E8C" w:rsidP="003B0E8C">
            <w:pPr>
              <w:spacing w:line="340" w:lineRule="exact"/>
              <w:ind w:firstLineChars="200" w:firstLine="480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福州台江医院报送的《福州台江医院扩建工程环境影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响报告表》（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以下简称报告表）及相关申请材料收悉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根据《中华人民共和国环境影响评价法》第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条等规定，现提出审批意见如下：</w:t>
            </w:r>
          </w:p>
          <w:p w:rsidR="007C1902" w:rsidRDefault="003B0E8C" w:rsidP="003B0E8C">
            <w:pPr>
              <w:pStyle w:val="a4"/>
              <w:numPr>
                <w:ilvl w:val="0"/>
                <w:numId w:val="1"/>
              </w:numPr>
              <w:spacing w:after="0" w:line="340" w:lineRule="exact"/>
              <w:ind w:leftChars="0" w:left="0" w:firstLine="554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根据《报告表》评价结论：同意福州台江医院扩建工程在福州市台江区五一南路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293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号建设，该项目</w:t>
            </w:r>
            <w:r>
              <w:rPr>
                <w:rFonts w:ascii="仿宋" w:eastAsia="仿宋" w:hAnsi="仿宋"/>
                <w:sz w:val="24"/>
                <w:szCs w:val="24"/>
              </w:rPr>
              <w:t>总建筑面积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约</w:t>
            </w:r>
            <w:r>
              <w:rPr>
                <w:rFonts w:ascii="仿宋" w:eastAsia="仿宋" w:hAnsi="仿宋"/>
                <w:sz w:val="24"/>
                <w:szCs w:val="24"/>
              </w:rPr>
              <w:t>45000</w:t>
            </w:r>
            <w:r>
              <w:rPr>
                <w:rFonts w:ascii="仿宋" w:eastAsia="仿宋" w:hAnsi="仿宋"/>
                <w:sz w:val="24"/>
                <w:szCs w:val="24"/>
              </w:rPr>
              <w:t>平方米，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台江医院综合大楼，病床数现有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60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床，新增</w:t>
            </w:r>
            <w:r>
              <w:rPr>
                <w:rFonts w:ascii="仿宋" w:eastAsia="仿宋" w:hAnsi="仿宋"/>
                <w:sz w:val="24"/>
                <w:szCs w:val="24"/>
              </w:rPr>
              <w:t>240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床，合计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/>
                <w:sz w:val="24"/>
                <w:szCs w:val="24"/>
              </w:rPr>
              <w:t>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床。</w:t>
            </w:r>
          </w:p>
          <w:p w:rsidR="007C1902" w:rsidRDefault="003B0E8C" w:rsidP="003B0E8C">
            <w:pPr>
              <w:pStyle w:val="a4"/>
              <w:spacing w:after="0" w:line="340" w:lineRule="exact"/>
              <w:ind w:leftChars="0" w:left="0"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二、项目应落实《报告表》提出的各项污染防治措施，并重点做好以下工作：</w:t>
            </w:r>
          </w:p>
          <w:p w:rsidR="007C1902" w:rsidRDefault="003B0E8C" w:rsidP="003B0E8C">
            <w:pPr>
              <w:spacing w:line="340" w:lineRule="exact"/>
              <w:ind w:firstLineChars="252" w:firstLine="605"/>
              <w:textAlignment w:val="baseline"/>
              <w:rPr>
                <w:rFonts w:eastAsia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、项目应严格实行雨污分流，配套建设完善医疗污水收集处理设施，生活污水经化粪池预处理后与医疗废水一同经过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新建的处理能力为</w:t>
            </w:r>
            <w:r w:rsidRPr="003B0E8C">
              <w:rPr>
                <w:rFonts w:eastAsia="仿宋" w:hint="eastAsia"/>
                <w:sz w:val="24"/>
                <w:szCs w:val="24"/>
              </w:rPr>
              <w:t>300</w:t>
            </w:r>
            <w:r>
              <w:rPr>
                <w:rFonts w:eastAsia="仿宋" w:hint="eastAsia"/>
                <w:sz w:val="24"/>
                <w:szCs w:val="24"/>
              </w:rPr>
              <w:t xml:space="preserve"> </w:t>
            </w:r>
            <w:r w:rsidRPr="003B0E8C">
              <w:rPr>
                <w:rFonts w:eastAsia="仿宋" w:hint="eastAsia"/>
                <w:sz w:val="24"/>
                <w:szCs w:val="24"/>
              </w:rPr>
              <w:t>m</w:t>
            </w:r>
            <w:r w:rsidRPr="003B0E8C">
              <w:rPr>
                <w:rFonts w:eastAsia="仿宋" w:hint="eastAsia"/>
                <w:sz w:val="24"/>
                <w:szCs w:val="24"/>
                <w:vertAlign w:val="superscript"/>
              </w:rPr>
              <w:t>3</w:t>
            </w:r>
            <w:r w:rsidRPr="003B0E8C">
              <w:rPr>
                <w:rFonts w:eastAsia="仿宋" w:hint="eastAsia"/>
                <w:sz w:val="24"/>
                <w:szCs w:val="24"/>
              </w:rPr>
              <w:t>/d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污水处理站处理（生化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+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消毒系统）达标后经市政污水管网进入洋里污水处理厂统一处理，处理达标后排放至闽江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,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并做好污水管道的防渗处理，医院污水站排水口水质执行《医疗机构水污染物排放标准》（</w:t>
            </w:r>
            <w:r w:rsidRPr="003B0E8C">
              <w:rPr>
                <w:rFonts w:eastAsia="仿宋" w:hint="eastAsia"/>
                <w:sz w:val="24"/>
                <w:szCs w:val="24"/>
              </w:rPr>
              <w:t>GB</w:t>
            </w:r>
            <w:r>
              <w:rPr>
                <w:rFonts w:eastAsia="仿宋"/>
                <w:sz w:val="24"/>
                <w:szCs w:val="24"/>
              </w:rPr>
              <w:t>18466-2005</w:t>
            </w:r>
            <w:r w:rsidRPr="003B0E8C">
              <w:rPr>
                <w:rFonts w:eastAsia="仿宋"/>
                <w:sz w:val="24"/>
                <w:szCs w:val="24"/>
              </w:rPr>
              <w:t>）</w:t>
            </w:r>
            <w:r>
              <w:rPr>
                <w:rFonts w:eastAsia="仿宋" w:hAnsi="仿宋"/>
                <w:sz w:val="24"/>
                <w:szCs w:val="24"/>
              </w:rPr>
              <w:t>中的预处理标准。污水排放口应实施规范化建设，项目建成后允许污水排放总量</w:t>
            </w:r>
            <w:r>
              <w:rPr>
                <w:rFonts w:eastAsia="仿宋" w:hint="eastAsia"/>
                <w:sz w:val="24"/>
                <w:szCs w:val="24"/>
              </w:rPr>
              <w:t>≤</w:t>
            </w:r>
            <w:r>
              <w:rPr>
                <w:rFonts w:eastAsia="仿宋"/>
                <w:sz w:val="24"/>
                <w:szCs w:val="24"/>
              </w:rPr>
              <w:t>8.3</w:t>
            </w:r>
            <w:r>
              <w:rPr>
                <w:rFonts w:eastAsia="仿宋" w:hAnsi="仿宋"/>
                <w:sz w:val="24"/>
                <w:szCs w:val="24"/>
              </w:rPr>
              <w:t>万</w:t>
            </w:r>
            <w:r>
              <w:rPr>
                <w:rFonts w:eastAsia="仿宋" w:hAnsi="仿宋" w:hint="eastAsia"/>
                <w:sz w:val="24"/>
                <w:szCs w:val="24"/>
              </w:rPr>
              <w:t>吨</w:t>
            </w:r>
            <w:r>
              <w:rPr>
                <w:rFonts w:eastAsia="仿宋"/>
                <w:sz w:val="24"/>
                <w:szCs w:val="24"/>
              </w:rPr>
              <w:t>/</w:t>
            </w:r>
            <w:r>
              <w:rPr>
                <w:rFonts w:eastAsia="仿宋" w:hAnsi="仿宋"/>
                <w:sz w:val="24"/>
                <w:szCs w:val="24"/>
              </w:rPr>
              <w:t>年。</w:t>
            </w:r>
          </w:p>
          <w:p w:rsidR="007C1902" w:rsidRDefault="003B0E8C" w:rsidP="003B0E8C">
            <w:pPr>
              <w:snapToGrid w:val="0"/>
              <w:spacing w:line="34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2</w:t>
            </w:r>
            <w:r>
              <w:rPr>
                <w:rFonts w:eastAsia="仿宋" w:hAnsi="仿宋"/>
                <w:sz w:val="24"/>
                <w:szCs w:val="24"/>
              </w:rPr>
              <w:t>、恶臭废气经收集通过废气净化设备（活性炭吸附）处理后经</w:t>
            </w:r>
            <w:r>
              <w:rPr>
                <w:rFonts w:eastAsia="仿宋"/>
                <w:sz w:val="24"/>
                <w:szCs w:val="24"/>
              </w:rPr>
              <w:t>15</w:t>
            </w:r>
            <w:r>
              <w:rPr>
                <w:rFonts w:eastAsia="仿宋" w:hint="eastAsia"/>
                <w:sz w:val="24"/>
                <w:szCs w:val="24"/>
              </w:rPr>
              <w:t xml:space="preserve"> </w:t>
            </w:r>
            <w:r>
              <w:rPr>
                <w:rFonts w:eastAsia="仿宋"/>
                <w:sz w:val="24"/>
                <w:szCs w:val="24"/>
              </w:rPr>
              <w:t>m</w:t>
            </w:r>
            <w:r>
              <w:rPr>
                <w:rFonts w:eastAsia="仿宋" w:hAnsi="仿宋"/>
                <w:sz w:val="24"/>
                <w:szCs w:val="24"/>
              </w:rPr>
              <w:t>排气筒排放。污水处理站周边空气污染物排放执行《医疗机构水污染物排放标准》（</w:t>
            </w:r>
            <w:r>
              <w:rPr>
                <w:rFonts w:eastAsia="仿宋"/>
                <w:sz w:val="24"/>
                <w:szCs w:val="24"/>
              </w:rPr>
              <w:t>GB18466-2005</w:t>
            </w:r>
            <w:r>
              <w:rPr>
                <w:rFonts w:eastAsia="仿宋" w:hAnsi="仿宋"/>
                <w:sz w:val="24"/>
                <w:szCs w:val="24"/>
              </w:rPr>
              <w:t>）表</w:t>
            </w:r>
            <w:r>
              <w:rPr>
                <w:rFonts w:eastAsia="仿宋"/>
                <w:sz w:val="24"/>
                <w:szCs w:val="24"/>
              </w:rPr>
              <w:t>3</w:t>
            </w:r>
            <w:r>
              <w:rPr>
                <w:rFonts w:eastAsia="仿宋" w:hAnsi="仿宋"/>
                <w:sz w:val="24"/>
                <w:szCs w:val="24"/>
              </w:rPr>
              <w:t>标准，排气筒排放的废气污染物执行《恶臭污染物排放标准》</w:t>
            </w:r>
            <w:r>
              <w:rPr>
                <w:rFonts w:eastAsia="仿宋" w:hAnsi="仿宋" w:hint="eastAsia"/>
                <w:sz w:val="24"/>
                <w:szCs w:val="24"/>
              </w:rPr>
              <w:t>(</w:t>
            </w:r>
            <w:r>
              <w:rPr>
                <w:rFonts w:eastAsia="仿宋"/>
                <w:sz w:val="24"/>
                <w:szCs w:val="24"/>
              </w:rPr>
              <w:t>GB14554-93</w:t>
            </w:r>
            <w:r>
              <w:rPr>
                <w:rFonts w:eastAsia="仿宋" w:hint="eastAsia"/>
                <w:sz w:val="24"/>
                <w:szCs w:val="24"/>
              </w:rPr>
              <w:t>)</w:t>
            </w:r>
            <w:r>
              <w:rPr>
                <w:rFonts w:eastAsia="仿宋" w:hAnsi="仿宋"/>
                <w:sz w:val="24"/>
                <w:szCs w:val="24"/>
              </w:rPr>
              <w:t>中的</w:t>
            </w:r>
            <w:r>
              <w:rPr>
                <w:rFonts w:eastAsia="仿宋"/>
                <w:sz w:val="24"/>
                <w:szCs w:val="24"/>
              </w:rPr>
              <w:t>NH</w:t>
            </w:r>
            <w:r>
              <w:rPr>
                <w:rFonts w:eastAsia="仿宋"/>
                <w:sz w:val="24"/>
                <w:szCs w:val="24"/>
                <w:vertAlign w:val="subscript"/>
              </w:rPr>
              <w:t>3</w:t>
            </w:r>
            <w:r>
              <w:rPr>
                <w:rFonts w:eastAsia="仿宋" w:hint="eastAsia"/>
                <w:sz w:val="24"/>
                <w:szCs w:val="24"/>
              </w:rPr>
              <w:t>、</w:t>
            </w:r>
            <w:r>
              <w:rPr>
                <w:rFonts w:eastAsia="仿宋"/>
                <w:sz w:val="24"/>
                <w:szCs w:val="24"/>
              </w:rPr>
              <w:t>H</w:t>
            </w:r>
            <w:r>
              <w:rPr>
                <w:rFonts w:eastAsia="仿宋"/>
                <w:sz w:val="24"/>
                <w:szCs w:val="24"/>
                <w:vertAlign w:val="subscript"/>
              </w:rPr>
              <w:t>2</w:t>
            </w:r>
            <w:r>
              <w:rPr>
                <w:rFonts w:eastAsia="仿宋" w:hint="eastAsia"/>
                <w:sz w:val="24"/>
                <w:szCs w:val="24"/>
              </w:rPr>
              <w:t>S</w:t>
            </w:r>
            <w:r>
              <w:rPr>
                <w:rFonts w:eastAsia="仿宋" w:hint="eastAsia"/>
                <w:sz w:val="24"/>
                <w:szCs w:val="24"/>
              </w:rPr>
              <w:t>的排放标准值要求</w:t>
            </w:r>
            <w:r>
              <w:rPr>
                <w:rFonts w:eastAsia="仿宋" w:hAnsi="仿宋"/>
                <w:sz w:val="24"/>
                <w:szCs w:val="24"/>
              </w:rPr>
              <w:t>。食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堂油烟经油烟净化器处理后达标排放，执行《饮食业油烟排放标准》</w:t>
            </w:r>
            <w:r w:rsidRPr="003B0E8C">
              <w:rPr>
                <w:rFonts w:eastAsia="仿宋" w:hint="eastAsia"/>
                <w:sz w:val="24"/>
                <w:szCs w:val="24"/>
              </w:rPr>
              <w:t>(GB18483-2001)</w:t>
            </w:r>
            <w:r>
              <w:rPr>
                <w:rFonts w:ascii="仿宋" w:eastAsia="仿宋" w:hAnsi="仿宋"/>
                <w:sz w:val="24"/>
                <w:szCs w:val="24"/>
              </w:rPr>
              <w:t>中</w:t>
            </w:r>
            <w:r>
              <w:rPr>
                <w:rFonts w:eastAsia="仿宋"/>
                <w:sz w:val="24"/>
                <w:szCs w:val="24"/>
              </w:rPr>
              <w:t>2.0</w:t>
            </w:r>
            <w:r>
              <w:rPr>
                <w:rFonts w:eastAsia="仿宋" w:hint="eastAsia"/>
                <w:sz w:val="24"/>
                <w:szCs w:val="24"/>
              </w:rPr>
              <w:t xml:space="preserve"> </w:t>
            </w:r>
            <w:r>
              <w:rPr>
                <w:rFonts w:eastAsia="仿宋"/>
                <w:sz w:val="24"/>
                <w:szCs w:val="24"/>
              </w:rPr>
              <w:t>mg/m</w:t>
            </w:r>
            <w:r>
              <w:rPr>
                <w:rFonts w:eastAsia="仿宋"/>
                <w:sz w:val="24"/>
                <w:szCs w:val="24"/>
                <w:vertAlign w:val="superscript"/>
              </w:rPr>
              <w:t>3</w:t>
            </w:r>
            <w:r>
              <w:rPr>
                <w:rFonts w:ascii="仿宋" w:eastAsia="仿宋" w:hAnsi="仿宋"/>
                <w:sz w:val="24"/>
                <w:szCs w:val="24"/>
              </w:rPr>
              <w:t>的标准限值要求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7C1902" w:rsidRDefault="003B0E8C" w:rsidP="003B0E8C">
            <w:pPr>
              <w:spacing w:line="340" w:lineRule="exact"/>
              <w:ind w:firstLineChars="252" w:firstLine="605"/>
              <w:textAlignment w:val="baseline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固体废物应实行分类收集、处置。合理设置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医疗废物暂存间，暂存间应有足够规模满足运营要求，地表及墙裙应涂抹防水防渗材料。院内医疗废物、检验废液、污水站污泥等危险废物须按规定收集、委托有资质的单位进行处置。生活垃圾要分类袋装处理，及时清运。</w:t>
            </w:r>
          </w:p>
          <w:p w:rsidR="007C1902" w:rsidRDefault="003B0E8C" w:rsidP="003B0E8C">
            <w:pPr>
              <w:spacing w:line="340" w:lineRule="exact"/>
              <w:ind w:firstLineChars="252" w:firstLine="605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、合理布局产生噪声的设备，空调、水泵、风机等噪声源应采取隔声降噪措施，确保医院边界噪声达标。</w:t>
            </w:r>
            <w:r>
              <w:rPr>
                <w:rFonts w:ascii="仿宋" w:eastAsia="仿宋" w:hAnsi="仿宋"/>
                <w:sz w:val="24"/>
                <w:szCs w:val="24"/>
              </w:rPr>
              <w:t>厂界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东、南、北侧</w:t>
            </w:r>
            <w:r>
              <w:rPr>
                <w:rFonts w:ascii="仿宋" w:eastAsia="仿宋" w:hAnsi="仿宋"/>
                <w:sz w:val="24"/>
                <w:szCs w:val="24"/>
              </w:rPr>
              <w:t>执行《工业企业厂界环境噪声排放标准》</w:t>
            </w:r>
            <w:r w:rsidRPr="003B0E8C">
              <w:rPr>
                <w:rFonts w:eastAsia="仿宋" w:hint="eastAsia"/>
                <w:sz w:val="24"/>
                <w:szCs w:val="24"/>
              </w:rPr>
              <w:t>（</w:t>
            </w:r>
            <w:r w:rsidRPr="003B0E8C">
              <w:rPr>
                <w:rFonts w:eastAsia="仿宋"/>
                <w:sz w:val="24"/>
                <w:szCs w:val="24"/>
              </w:rPr>
              <w:t>GB12348-2008</w:t>
            </w:r>
            <w:r w:rsidRPr="003B0E8C">
              <w:rPr>
                <w:rFonts w:eastAsia="仿宋" w:hint="eastAsia"/>
                <w:sz w:val="24"/>
                <w:szCs w:val="24"/>
              </w:rPr>
              <w:t>）</w:t>
            </w:r>
            <w:r w:rsidRPr="003B0E8C">
              <w:rPr>
                <w:rFonts w:eastAsia="仿宋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类标准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，西侧执行</w:t>
            </w:r>
            <w:r>
              <w:rPr>
                <w:rFonts w:ascii="仿宋" w:eastAsia="仿宋" w:hAnsi="仿宋"/>
                <w:sz w:val="24"/>
                <w:szCs w:val="24"/>
              </w:rPr>
              <w:t>《工业企业厂界环境噪声排放标准》</w:t>
            </w:r>
            <w:r w:rsidRPr="003B0E8C">
              <w:rPr>
                <w:rFonts w:eastAsia="仿宋" w:hint="eastAsia"/>
                <w:sz w:val="24"/>
                <w:szCs w:val="24"/>
              </w:rPr>
              <w:t>（</w:t>
            </w:r>
            <w:r w:rsidRPr="003B0E8C">
              <w:rPr>
                <w:rFonts w:eastAsia="仿宋"/>
                <w:sz w:val="24"/>
                <w:szCs w:val="24"/>
              </w:rPr>
              <w:t>GB12348-2008</w:t>
            </w:r>
            <w:r w:rsidRPr="003B0E8C">
              <w:rPr>
                <w:rFonts w:eastAsia="仿宋" w:hint="eastAsia"/>
                <w:sz w:val="24"/>
                <w:szCs w:val="24"/>
              </w:rPr>
              <w:t>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类标准。</w:t>
            </w:r>
          </w:p>
          <w:p w:rsidR="007C1902" w:rsidRDefault="003B0E8C" w:rsidP="003B0E8C">
            <w:pPr>
              <w:spacing w:line="340" w:lineRule="exact"/>
              <w:ind w:firstLineChars="252" w:firstLine="605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、强化施工期环境管理，合理安排施工时间，采取有效措施防止粉尘，噪声和污水等污染环境。施工现场应采取喷淋、围挡等切实有效的压尘措施；施工废水应经处理后排入市政污水管网，严禁排入附近河道。</w:t>
            </w:r>
          </w:p>
          <w:p w:rsidR="007C1902" w:rsidRDefault="003B0E8C" w:rsidP="003B0E8C">
            <w:pPr>
              <w:spacing w:line="340" w:lineRule="exact"/>
              <w:ind w:firstLineChars="252" w:firstLine="605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三、该项目应严格执行环保“三同时”制度，项目建成后及时开展竣工环保验收，验收合格后方可投入使用。我局委托福州市台江生态环境局执法大队组织开展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“三同时”监督检查和日常监督管理。</w:t>
            </w:r>
          </w:p>
          <w:p w:rsidR="007C1902" w:rsidRDefault="003B0E8C">
            <w:pPr>
              <w:pStyle w:val="a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经办人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:    </w:t>
            </w:r>
          </w:p>
          <w:p w:rsidR="007C1902" w:rsidRDefault="003B0E8C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福州市台江生态环境局</w:t>
            </w:r>
          </w:p>
          <w:p w:rsidR="007C1902" w:rsidRDefault="003B0E8C">
            <w:pPr>
              <w:snapToGrid w:val="0"/>
              <w:spacing w:line="36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bookmarkStart w:id="0" w:name="_GoBack"/>
            <w:bookmarkEnd w:id="0"/>
          </w:p>
        </w:tc>
      </w:tr>
    </w:tbl>
    <w:p w:rsidR="007C1902" w:rsidRDefault="007C1902"/>
    <w:sectPr w:rsidR="007C1902" w:rsidSect="007C1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A7B759"/>
    <w:multiLevelType w:val="singleLevel"/>
    <w:tmpl w:val="82A7B75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0253"/>
    <w:rsid w:val="00000F1B"/>
    <w:rsid w:val="00027900"/>
    <w:rsid w:val="00040802"/>
    <w:rsid w:val="00060B0F"/>
    <w:rsid w:val="000822E5"/>
    <w:rsid w:val="00084B57"/>
    <w:rsid w:val="000A4F9D"/>
    <w:rsid w:val="000E3A05"/>
    <w:rsid w:val="001116E3"/>
    <w:rsid w:val="00112EEF"/>
    <w:rsid w:val="00135638"/>
    <w:rsid w:val="00183C03"/>
    <w:rsid w:val="001B1F54"/>
    <w:rsid w:val="001F6A01"/>
    <w:rsid w:val="00202671"/>
    <w:rsid w:val="002545A3"/>
    <w:rsid w:val="00286BBE"/>
    <w:rsid w:val="00287E08"/>
    <w:rsid w:val="002914D1"/>
    <w:rsid w:val="002A4F8A"/>
    <w:rsid w:val="002E3E43"/>
    <w:rsid w:val="002F0253"/>
    <w:rsid w:val="00307DDD"/>
    <w:rsid w:val="00374D27"/>
    <w:rsid w:val="003B0E8C"/>
    <w:rsid w:val="003B3C8B"/>
    <w:rsid w:val="00404652"/>
    <w:rsid w:val="004350A2"/>
    <w:rsid w:val="00481832"/>
    <w:rsid w:val="00487A0E"/>
    <w:rsid w:val="004C0829"/>
    <w:rsid w:val="004D4956"/>
    <w:rsid w:val="00517E3C"/>
    <w:rsid w:val="005223CA"/>
    <w:rsid w:val="005463DC"/>
    <w:rsid w:val="00556226"/>
    <w:rsid w:val="005769C3"/>
    <w:rsid w:val="005A3870"/>
    <w:rsid w:val="005C0066"/>
    <w:rsid w:val="00656E24"/>
    <w:rsid w:val="006E4402"/>
    <w:rsid w:val="006F3ED5"/>
    <w:rsid w:val="00704E36"/>
    <w:rsid w:val="00777100"/>
    <w:rsid w:val="00777FBD"/>
    <w:rsid w:val="00783107"/>
    <w:rsid w:val="007912BA"/>
    <w:rsid w:val="007A5317"/>
    <w:rsid w:val="007B22D3"/>
    <w:rsid w:val="007C1411"/>
    <w:rsid w:val="007C1430"/>
    <w:rsid w:val="007C1902"/>
    <w:rsid w:val="007C7A35"/>
    <w:rsid w:val="00816ECF"/>
    <w:rsid w:val="00840AE9"/>
    <w:rsid w:val="00850B33"/>
    <w:rsid w:val="00863B58"/>
    <w:rsid w:val="008C451A"/>
    <w:rsid w:val="008C532C"/>
    <w:rsid w:val="008D022A"/>
    <w:rsid w:val="008E5015"/>
    <w:rsid w:val="008F5B5B"/>
    <w:rsid w:val="0092135D"/>
    <w:rsid w:val="00921439"/>
    <w:rsid w:val="00932133"/>
    <w:rsid w:val="0094364D"/>
    <w:rsid w:val="009E1327"/>
    <w:rsid w:val="00A673A7"/>
    <w:rsid w:val="00AD4BB2"/>
    <w:rsid w:val="00AE2824"/>
    <w:rsid w:val="00B3396C"/>
    <w:rsid w:val="00B42CA2"/>
    <w:rsid w:val="00B7188C"/>
    <w:rsid w:val="00BE5DF9"/>
    <w:rsid w:val="00C063A1"/>
    <w:rsid w:val="00C2593A"/>
    <w:rsid w:val="00C3174B"/>
    <w:rsid w:val="00C34B7A"/>
    <w:rsid w:val="00C41158"/>
    <w:rsid w:val="00D26826"/>
    <w:rsid w:val="00D32031"/>
    <w:rsid w:val="00D43C2B"/>
    <w:rsid w:val="00D502EC"/>
    <w:rsid w:val="00D57B9B"/>
    <w:rsid w:val="00D94BA2"/>
    <w:rsid w:val="00E25C4A"/>
    <w:rsid w:val="00E933D0"/>
    <w:rsid w:val="00E969EA"/>
    <w:rsid w:val="00EE2A0E"/>
    <w:rsid w:val="00F03E62"/>
    <w:rsid w:val="00F70735"/>
    <w:rsid w:val="00F73B0F"/>
    <w:rsid w:val="00FA2BA3"/>
    <w:rsid w:val="00FC3CF3"/>
    <w:rsid w:val="118434AB"/>
    <w:rsid w:val="16104E59"/>
    <w:rsid w:val="1DD173D9"/>
    <w:rsid w:val="2B1449BC"/>
    <w:rsid w:val="2F834982"/>
    <w:rsid w:val="38EB604F"/>
    <w:rsid w:val="4A897868"/>
    <w:rsid w:val="574C11EA"/>
    <w:rsid w:val="69F83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C1902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rsid w:val="007C1902"/>
    <w:pPr>
      <w:ind w:firstLine="420"/>
    </w:pPr>
  </w:style>
  <w:style w:type="paragraph" w:styleId="a4">
    <w:name w:val="Body Text Indent"/>
    <w:basedOn w:val="a"/>
    <w:link w:val="Char"/>
    <w:qFormat/>
    <w:rsid w:val="007C1902"/>
    <w:pPr>
      <w:spacing w:after="120"/>
      <w:ind w:leftChars="200" w:left="420"/>
    </w:pPr>
  </w:style>
  <w:style w:type="paragraph" w:styleId="a5">
    <w:name w:val="Balloon Text"/>
    <w:basedOn w:val="a"/>
    <w:link w:val="Char0"/>
    <w:uiPriority w:val="99"/>
    <w:semiHidden/>
    <w:unhideWhenUsed/>
    <w:rsid w:val="007C190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7C19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rsid w:val="007C19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7"/>
    <w:uiPriority w:val="99"/>
    <w:qFormat/>
    <w:rsid w:val="007C1902"/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sid w:val="007C1902"/>
    <w:rPr>
      <w:sz w:val="18"/>
      <w:szCs w:val="18"/>
    </w:rPr>
  </w:style>
  <w:style w:type="paragraph" w:styleId="a8">
    <w:name w:val="List Paragraph"/>
    <w:basedOn w:val="a"/>
    <w:uiPriority w:val="99"/>
    <w:qFormat/>
    <w:rsid w:val="007C1902"/>
    <w:pPr>
      <w:ind w:firstLineChars="200" w:firstLine="420"/>
    </w:pPr>
  </w:style>
  <w:style w:type="paragraph" w:customStyle="1" w:styleId="a9">
    <w:name w:val="表格内容"/>
    <w:basedOn w:val="a"/>
    <w:qFormat/>
    <w:rsid w:val="007C1902"/>
    <w:pPr>
      <w:adjustRightInd w:val="0"/>
      <w:snapToGrid w:val="0"/>
      <w:jc w:val="center"/>
    </w:pPr>
    <w:rPr>
      <w:snapToGrid w:val="0"/>
      <w:szCs w:val="18"/>
    </w:rPr>
  </w:style>
  <w:style w:type="character" w:customStyle="1" w:styleId="Char">
    <w:name w:val="正文文本缩进 Char"/>
    <w:basedOn w:val="a1"/>
    <w:link w:val="a4"/>
    <w:qFormat/>
    <w:rsid w:val="007C1902"/>
    <w:rPr>
      <w:kern w:val="2"/>
      <w:sz w:val="21"/>
    </w:rPr>
  </w:style>
  <w:style w:type="paragraph" w:customStyle="1" w:styleId="Char3">
    <w:name w:val="Char"/>
    <w:basedOn w:val="a"/>
    <w:rsid w:val="007C1902"/>
    <w:pPr>
      <w:spacing w:line="360" w:lineRule="auto"/>
    </w:pPr>
    <w:rPr>
      <w:szCs w:val="24"/>
    </w:rPr>
  </w:style>
  <w:style w:type="character" w:customStyle="1" w:styleId="Char0">
    <w:name w:val="批注框文本 Char"/>
    <w:basedOn w:val="a1"/>
    <w:link w:val="a5"/>
    <w:uiPriority w:val="99"/>
    <w:semiHidden/>
    <w:rsid w:val="007C190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1099</Characters>
  <Application>Microsoft Office Word</Application>
  <DocSecurity>0</DocSecurity>
  <Lines>9</Lines>
  <Paragraphs>2</Paragraphs>
  <ScaleCrop>false</ScaleCrop>
  <Company>User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40</cp:revision>
  <cp:lastPrinted>2021-01-29T06:30:00Z</cp:lastPrinted>
  <dcterms:created xsi:type="dcterms:W3CDTF">2017-05-05T02:41:00Z</dcterms:created>
  <dcterms:modified xsi:type="dcterms:W3CDTF">2021-03-15T06:29:00Z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