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附件4</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宋体" w:hAnsi="宋体" w:eastAsia="宋体"/>
          <w:b/>
          <w:sz w:val="44"/>
          <w:szCs w:val="44"/>
          <w:lang w:val="en-US" w:eastAsia="zh-CN"/>
        </w:rPr>
      </w:pPr>
    </w:p>
    <w:p>
      <w:pPr>
        <w:keepNext w:val="0"/>
        <w:keepLines w:val="0"/>
        <w:pageBreakBefore w:val="0"/>
        <w:widowControl w:val="0"/>
        <w:suppressLineNumbers w:val="0"/>
        <w:kinsoku/>
        <w:wordWrap/>
        <w:overflowPunct/>
        <w:topLinePunct w:val="0"/>
        <w:autoSpaceDE w:val="0"/>
        <w:autoSpaceDN/>
        <w:bidi w:val="0"/>
        <w:adjustRightInd w:val="0"/>
        <w:snapToGrid w:val="0"/>
        <w:spacing w:before="0" w:beforeAutospacing="0" w:after="0" w:afterAutospacing="0" w:line="600" w:lineRule="exact"/>
        <w:ind w:left="0" w:leftChars="0" w:right="0" w:rightChars="0"/>
        <w:jc w:val="center"/>
        <w:rPr>
          <w:rFonts w:hint="eastAsia" w:ascii="方正小标宋简体" w:hAnsi="方正小标宋简体" w:eastAsia="方正小标宋简体" w:cs="方正小标宋简体"/>
          <w:color w:val="000000"/>
          <w:spacing w:val="0"/>
          <w:kern w:val="0"/>
          <w:sz w:val="44"/>
          <w:szCs w:val="44"/>
          <w:lang w:val="en-US" w:eastAsia="zh-CN" w:bidi="ar"/>
        </w:rPr>
      </w:pPr>
      <w:r>
        <w:rPr>
          <w:rFonts w:hint="eastAsia" w:ascii="方正小标宋简体" w:hAnsi="方正小标宋简体" w:eastAsia="方正小标宋简体" w:cs="方正小标宋简体"/>
          <w:color w:val="000000"/>
          <w:spacing w:val="0"/>
          <w:kern w:val="0"/>
          <w:sz w:val="44"/>
          <w:szCs w:val="44"/>
          <w:lang w:val="en-US" w:eastAsia="zh-CN" w:bidi="ar"/>
        </w:rPr>
        <w:t>关于提升历史文化街区旅游服务质量工作的若干措施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为进一步提升台江区历史文化街区旅游服务质量，提高游客满意度，推动我区旅游业高质量发展，现结合我区实际，制定以下措施。</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sz w:val="32"/>
          <w:szCs w:val="32"/>
        </w:rPr>
      </w:pPr>
      <w:r>
        <w:rPr>
          <w:rFonts w:hint="eastAsia" w:ascii="黑体" w:hAnsi="黑体" w:eastAsia="黑体"/>
          <w:sz w:val="32"/>
          <w:szCs w:val="32"/>
        </w:rPr>
        <w:t>优化文旅发展布局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创新旅游发展思路，以全域生态旅游为统领，进一步优化我区历史文化街区内旅游发展布局，积极对接融入省市总体规划布局，在上下杭、南公河口、苍霞三大历史文化街区谋划文旅融合项目，打响“活力台江”文旅消费品牌。强化“水陆统筹”全域旅游交通枢纽建设，充分发挥台江旅游的资源特色，以白马河改造提升、南公河口街区等建设为契机，打造特色内河游项目。通过全域旅游发展，将台江建设成为都市活力与历史文化交融的著名文化旅游休闲区和文旅消费聚集区。</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sz w:val="32"/>
          <w:szCs w:val="32"/>
        </w:rPr>
      </w:pPr>
      <w:r>
        <w:rPr>
          <w:rFonts w:hint="eastAsia" w:ascii="黑体" w:hAnsi="黑体" w:eastAsia="黑体"/>
          <w:sz w:val="32"/>
          <w:szCs w:val="32"/>
        </w:rPr>
        <w:t>丰富优质文旅供给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积极为街区引入经济效益好、文化内涵高、社会影响好</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的文旅产品，推动文旅经济转型升级。以观光类产品为基础，以文化体验产品为核心，丰富旅游产品供给，带动文旅</w:t>
      </w:r>
      <w:r>
        <w:rPr>
          <w:rFonts w:hint="eastAsia" w:ascii="仿宋_GB2312" w:hAnsi="仿宋_GB2312" w:eastAsia="仿宋_GB2312" w:cs="仿宋_GB2312"/>
          <w:sz w:val="32"/>
          <w:szCs w:val="32"/>
          <w:lang w:eastAsia="zh-CN"/>
        </w:rPr>
        <w:t>经济效益</w:t>
      </w:r>
      <w:r>
        <w:rPr>
          <w:rFonts w:hint="eastAsia" w:ascii="仿宋_GB2312" w:hAnsi="仿宋_GB2312" w:eastAsia="仿宋_GB2312" w:cs="仿宋_GB2312"/>
          <w:sz w:val="32"/>
          <w:szCs w:val="32"/>
        </w:rPr>
        <w:t>提升。以闽商文化、海丝文化、红色文化等文旅资源为核心，谋划推出一批台江特色主题旅游线路、精品旅游线路、区域联合旅游线路，助推星级酒店品质优化、旅行社服务质量提升、非遗沉浸式演艺精品创作、“台江味”美食文化打造等，丰富文旅产品供给，推动我区文旅经济快速发展。</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sz w:val="32"/>
          <w:szCs w:val="32"/>
        </w:rPr>
      </w:pPr>
      <w:r>
        <w:rPr>
          <w:rFonts w:hint="eastAsia" w:ascii="黑体" w:hAnsi="黑体" w:eastAsia="黑体"/>
          <w:sz w:val="32"/>
          <w:szCs w:val="32"/>
        </w:rPr>
        <w:t>完善景区基础设施配套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对照《旅游景区质量等级的划分与评定》国家标准，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完善游客中心、停车场、旅游厕所等基础服务设施，优化标识标牌，推动景区提档升级。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改善景区停车体验，合理设置“两车”停放点、旅游</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大巴临时停靠点和落客区。</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健全公共交通出行与自驾游服务设施，完善全域游览慢行系统。在交通枢纽、景区公园、重点商圈等设置文化标识小品和全景导览图，不断提升旅游配套设施服务水平。</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引导景区内备案民宿规范化、标准化、特色化发展。支持民宿参与等级评定、公共文化服务，拓展餐饮消费、特色文创、手工制造、文化体验等多元化业态，促进文旅经济发展。</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sz w:val="32"/>
          <w:szCs w:val="32"/>
        </w:rPr>
      </w:pPr>
      <w:r>
        <w:rPr>
          <w:rFonts w:hint="eastAsia" w:ascii="黑体" w:hAnsi="黑体" w:eastAsia="黑体"/>
          <w:sz w:val="32"/>
          <w:szCs w:val="32"/>
        </w:rPr>
        <w:t>提升景区旅游服务水平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完善景区公共服务配套。提升游客服务中心咨询、休憩等服务水平，增设游客需求的便民措施。配齐配强讲解员队伍，满足多语种讲解服务需要。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协同推进景区支付服务水平提升。打造支付便利化标杆场景，布设POS机具，开通内外卡支付、移动支付、现金收银等功能，为境内外游客提供支付便利化。</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color w:val="000000"/>
          <w:sz w:val="32"/>
          <w:szCs w:val="32"/>
        </w:rPr>
      </w:pPr>
      <w:r>
        <w:rPr>
          <w:rFonts w:hint="eastAsia" w:ascii="黑体" w:hAnsi="黑体" w:eastAsia="黑体"/>
          <w:color w:val="000000"/>
          <w:sz w:val="32"/>
          <w:szCs w:val="32"/>
        </w:rPr>
        <w:t>打造智慧旅游体验场景</w:t>
      </w:r>
    </w:p>
    <w:p>
      <w:pPr>
        <w:pStyle w:val="6"/>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Chars="0"/>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打造智慧导览新模式。推广实施福建省地方标准《智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慧景区等级划分与评定》，推进4</w:t>
      </w:r>
      <w:r>
        <w:rPr>
          <w:rFonts w:ascii="仿宋_GB2312" w:hAnsi="微软雅黑" w:eastAsia="仿宋_GB2312"/>
          <w:color w:val="000000"/>
          <w:sz w:val="32"/>
          <w:szCs w:val="32"/>
        </w:rPr>
        <w:t>A</w:t>
      </w:r>
      <w:r>
        <w:rPr>
          <w:rFonts w:hint="eastAsia" w:ascii="仿宋_GB2312" w:hAnsi="微软雅黑" w:eastAsia="仿宋_GB2312"/>
          <w:color w:val="000000"/>
          <w:sz w:val="32"/>
          <w:szCs w:val="32"/>
        </w:rPr>
        <w:t>级景区普及二维码、电子地图、线路推荐、语音导览等运用，实现全覆盖。</w:t>
      </w:r>
    </w:p>
    <w:p>
      <w:pPr>
        <w:pStyle w:val="6"/>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Chars="0"/>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推广旅游体验新模式。</w:t>
      </w:r>
      <w:r>
        <w:rPr>
          <w:rFonts w:ascii="仿宋_GB2312" w:hAnsi="微软雅黑" w:eastAsia="仿宋_GB2312"/>
          <w:color w:val="000000"/>
          <w:sz w:val="32"/>
          <w:szCs w:val="32"/>
        </w:rPr>
        <w:t>推动</w:t>
      </w:r>
      <w:r>
        <w:rPr>
          <w:rFonts w:hint="eastAsia" w:ascii="仿宋_GB2312" w:hAnsi="微软雅黑" w:eastAsia="仿宋_GB2312"/>
          <w:color w:val="000000"/>
          <w:sz w:val="32"/>
          <w:szCs w:val="32"/>
        </w:rPr>
        <w:t>街区内</w:t>
      </w:r>
      <w:r>
        <w:rPr>
          <w:rFonts w:ascii="仿宋_GB2312" w:hAnsi="微软雅黑" w:eastAsia="仿宋_GB2312"/>
          <w:color w:val="000000"/>
          <w:sz w:val="32"/>
          <w:szCs w:val="32"/>
        </w:rPr>
        <w:t>文化文博场馆、</w:t>
      </w:r>
      <w:r>
        <w:rPr>
          <w:rFonts w:hint="eastAsia" w:ascii="仿宋_GB2312" w:hAnsi="微软雅黑" w:eastAsia="仿宋_GB2312"/>
          <w:color w:val="000000"/>
          <w:sz w:val="32"/>
          <w:szCs w:val="32"/>
        </w:rPr>
        <w:t>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色院落</w:t>
      </w:r>
      <w:r>
        <w:rPr>
          <w:rFonts w:ascii="仿宋_GB2312" w:hAnsi="微软雅黑" w:eastAsia="仿宋_GB2312"/>
          <w:color w:val="000000"/>
          <w:sz w:val="32"/>
          <w:szCs w:val="32"/>
        </w:rPr>
        <w:t>或相关空间，运用增强现实、虚拟现实、人工智能等数字科技，融合文化创意等元素，打造沉浸式夜游、展览、演艺等数字文旅沉浸式消费体验空间。开发数字文创产品，与文物盲盒、动漫游戏、主题研学等产品和服务联动，打造虚实结合的消费新模式。</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color w:val="000000"/>
          <w:sz w:val="32"/>
          <w:szCs w:val="32"/>
        </w:rPr>
      </w:pPr>
      <w:r>
        <w:rPr>
          <w:rFonts w:hint="eastAsia" w:ascii="黑体" w:hAnsi="黑体" w:eastAsia="黑体"/>
          <w:color w:val="000000"/>
          <w:sz w:val="32"/>
          <w:szCs w:val="32"/>
        </w:rPr>
        <w:t>发挥景区宣传阵地作用</w:t>
      </w:r>
    </w:p>
    <w:p>
      <w:pPr>
        <w:pStyle w:val="6"/>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Chars="0"/>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结合传统节日、民俗文化常态化开展主题文旅活动，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鼓励支持街头艺人、非遗演艺团队等在三大街区开展演出，持续做热街区活力。</w:t>
      </w:r>
    </w:p>
    <w:p>
      <w:pPr>
        <w:pStyle w:val="6"/>
        <w:keepNext w:val="0"/>
        <w:keepLines w:val="0"/>
        <w:pageBreakBefore w:val="0"/>
        <w:widowControl w:val="0"/>
        <w:numPr>
          <w:ilvl w:val="0"/>
          <w:numId w:val="4"/>
        </w:numPr>
        <w:kinsoku/>
        <w:wordWrap/>
        <w:overflowPunct/>
        <w:topLinePunct w:val="0"/>
        <w:autoSpaceDE/>
        <w:autoSpaceDN/>
        <w:bidi w:val="0"/>
        <w:adjustRightInd/>
        <w:snapToGrid/>
        <w:spacing w:line="600" w:lineRule="exact"/>
        <w:ind w:firstLineChars="0"/>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积极开展文明旅游活动。每年开展不少于1场文明旅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微软雅黑" w:eastAsia="仿宋_GB2312"/>
          <w:color w:val="000000"/>
          <w:sz w:val="32"/>
          <w:szCs w:val="32"/>
        </w:rPr>
      </w:pPr>
      <w:r>
        <w:rPr>
          <w:rFonts w:hint="eastAsia" w:ascii="仿宋_GB2312" w:hAnsi="微软雅黑" w:eastAsia="仿宋_GB2312"/>
          <w:color w:val="000000"/>
          <w:sz w:val="32"/>
          <w:szCs w:val="32"/>
        </w:rPr>
        <w:t>游主题活动，弘扬文明、健康、绿色旅游新风尚，营造全社会关注旅游服务质量、参与文明旅游创建的良好氛围。</w:t>
      </w:r>
    </w:p>
    <w:p>
      <w:pPr>
        <w:pStyle w:val="6"/>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Chars="0"/>
        <w:textAlignment w:val="auto"/>
        <w:rPr>
          <w:rFonts w:ascii="黑体" w:hAnsi="黑体" w:eastAsia="黑体"/>
          <w:color w:val="000000"/>
          <w:sz w:val="32"/>
          <w:szCs w:val="32"/>
        </w:rPr>
      </w:pPr>
      <w:r>
        <w:rPr>
          <w:rFonts w:hint="eastAsia" w:ascii="黑体" w:hAnsi="黑体" w:eastAsia="黑体"/>
          <w:color w:val="000000"/>
          <w:sz w:val="32"/>
          <w:szCs w:val="32"/>
        </w:rPr>
        <w:t>加强旅游安全监管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微软雅黑" w:eastAsia="仿宋_GB2312"/>
          <w:color w:val="000000"/>
          <w:sz w:val="32"/>
          <w:szCs w:val="32"/>
        </w:rPr>
      </w:pPr>
      <w:r>
        <w:rPr>
          <w:rFonts w:hint="eastAsia" w:ascii="仿宋_GB2312" w:hAnsi="微软雅黑" w:eastAsia="仿宋_GB2312"/>
          <w:color w:val="000000"/>
          <w:sz w:val="32"/>
          <w:szCs w:val="32"/>
        </w:rPr>
        <w:t>各有关部门按照职责分工加强行业指导和市场监管，督促运营单位落实安全生产责任，建立健全安全生产责任体系，定期开展安全隐患排查，建立问题隐患排查治理长效机制，组织安全培训和应急演练，提升应急处置水平。</w:t>
      </w:r>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6480679-8751-4568-8CFC-B4DC1A82459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D95A05A3-B905-4D25-B756-FD988FFDDE95}"/>
  </w:font>
  <w:font w:name="仿宋_GB2312">
    <w:panose1 w:val="02010609030101010101"/>
    <w:charset w:val="86"/>
    <w:family w:val="auto"/>
    <w:pitch w:val="default"/>
    <w:sig w:usb0="00000001" w:usb1="080E0000" w:usb2="00000000" w:usb3="00000000" w:csb0="00040000" w:csb1="00000000"/>
    <w:embedRegular r:id="rId3" w:fontKey="{F68BE625-5773-48B7-AE0C-6718E9B997D4}"/>
  </w:font>
  <w:font w:name="微软雅黑">
    <w:panose1 w:val="020B0503020204020204"/>
    <w:charset w:val="86"/>
    <w:family w:val="swiss"/>
    <w:pitch w:val="default"/>
    <w:sig w:usb0="80000287" w:usb1="280F3C52" w:usb2="00000016" w:usb3="00000000" w:csb0="0004001F" w:csb1="00000000"/>
    <w:embedRegular r:id="rId4" w:fontKey="{7AAB3710-DA20-44DF-AE77-D9DADA3F645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t xml:space="preserve">— </w:t>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  \* MERGEFORMAT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1</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Theme="minorEastAsia" w:hAnsiTheme="minorEastAsia" w:eastAsiaTheme="minorEastAsia" w:cstheme="minorEastAsia"/>
                        <w:sz w:val="28"/>
                        <w:szCs w:val="40"/>
                      </w:rPr>
                    </w:pPr>
                    <w:r>
                      <w:rPr>
                        <w:rFonts w:hint="eastAsia" w:asciiTheme="minorEastAsia" w:hAnsiTheme="minorEastAsia" w:eastAsiaTheme="minorEastAsia" w:cstheme="minorEastAsia"/>
                        <w:sz w:val="28"/>
                        <w:szCs w:val="40"/>
                      </w:rPr>
                      <w:t xml:space="preserve">— </w:t>
                    </w:r>
                    <w:r>
                      <w:rPr>
                        <w:rFonts w:hint="eastAsia" w:asciiTheme="minorEastAsia" w:hAnsiTheme="minorEastAsia" w:eastAsiaTheme="minorEastAsia" w:cstheme="minorEastAsia"/>
                        <w:sz w:val="28"/>
                        <w:szCs w:val="40"/>
                      </w:rPr>
                      <w:fldChar w:fldCharType="begin"/>
                    </w:r>
                    <w:r>
                      <w:rPr>
                        <w:rFonts w:hint="eastAsia" w:asciiTheme="minorEastAsia" w:hAnsiTheme="minorEastAsia" w:eastAsiaTheme="minorEastAsia" w:cstheme="minorEastAsia"/>
                        <w:sz w:val="28"/>
                        <w:szCs w:val="40"/>
                      </w:rPr>
                      <w:instrText xml:space="preserve"> PAGE  \* MERGEFORMAT </w:instrText>
                    </w:r>
                    <w:r>
                      <w:rPr>
                        <w:rFonts w:hint="eastAsia" w:asciiTheme="minorEastAsia" w:hAnsiTheme="minorEastAsia" w:eastAsiaTheme="minorEastAsia" w:cstheme="minorEastAsia"/>
                        <w:sz w:val="28"/>
                        <w:szCs w:val="40"/>
                      </w:rPr>
                      <w:fldChar w:fldCharType="separate"/>
                    </w:r>
                    <w:r>
                      <w:rPr>
                        <w:rFonts w:hint="eastAsia" w:asciiTheme="minorEastAsia" w:hAnsiTheme="minorEastAsia" w:eastAsiaTheme="minorEastAsia" w:cstheme="minorEastAsia"/>
                        <w:sz w:val="28"/>
                        <w:szCs w:val="40"/>
                      </w:rPr>
                      <w:t>1</w:t>
                    </w:r>
                    <w:r>
                      <w:rPr>
                        <w:rFonts w:hint="eastAsia" w:asciiTheme="minorEastAsia" w:hAnsiTheme="minorEastAsia" w:eastAsiaTheme="minorEastAsia" w:cstheme="minorEastAsia"/>
                        <w:sz w:val="28"/>
                        <w:szCs w:val="40"/>
                      </w:rPr>
                      <w:fldChar w:fldCharType="end"/>
                    </w:r>
                    <w:r>
                      <w:rPr>
                        <w:rFonts w:hint="eastAsia" w:asciiTheme="minorEastAsia" w:hAnsiTheme="minorEastAsia" w:eastAsiaTheme="minorEastAsia" w:cstheme="minorEastAsia"/>
                        <w:sz w:val="28"/>
                        <w:szCs w:val="40"/>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7B2D00"/>
    <w:multiLevelType w:val="multilevel"/>
    <w:tmpl w:val="077B2D00"/>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31747183"/>
    <w:multiLevelType w:val="multilevel"/>
    <w:tmpl w:val="31747183"/>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66837754"/>
    <w:multiLevelType w:val="singleLevel"/>
    <w:tmpl w:val="66837754"/>
    <w:lvl w:ilvl="0" w:tentative="0">
      <w:start w:val="3"/>
      <w:numFmt w:val="decimal"/>
      <w:suff w:val="nothing"/>
      <w:lvlText w:val="%1."/>
      <w:lvlJc w:val="left"/>
    </w:lvl>
  </w:abstractNum>
  <w:abstractNum w:abstractNumId="3">
    <w:nsid w:val="7135483A"/>
    <w:multiLevelType w:val="multilevel"/>
    <w:tmpl w:val="7135483A"/>
    <w:lvl w:ilvl="0" w:tentative="0">
      <w:start w:val="1"/>
      <w:numFmt w:val="decimal"/>
      <w:lvlText w:val="%1."/>
      <w:lvlJc w:val="left"/>
      <w:pPr>
        <w:ind w:left="1000" w:hanging="36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2Mzk4MGMxYTIzOWU3ZjZjNTllOGJlM2JmYjA1ZWQifQ=="/>
  </w:docVars>
  <w:rsids>
    <w:rsidRoot w:val="7F485F60"/>
    <w:rsid w:val="1FB8265F"/>
    <w:rsid w:val="267D309E"/>
    <w:rsid w:val="2A902DF4"/>
    <w:rsid w:val="2AB50E0A"/>
    <w:rsid w:val="637A08D8"/>
    <w:rsid w:val="6C7B4E88"/>
    <w:rsid w:val="6F012495"/>
    <w:rsid w:val="793029FD"/>
    <w:rsid w:val="79443E75"/>
    <w:rsid w:val="7F485F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1389</Words>
  <Characters>1396</Characters>
  <Lines>0</Lines>
  <Paragraphs>0</Paragraphs>
  <TotalTime>2</TotalTime>
  <ScaleCrop>false</ScaleCrop>
  <LinksUpToDate>false</LinksUpToDate>
  <CharactersWithSpaces>1396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2024-06-25T03:21:00Z</dcterms:created>
  <dc:creator>Administrator</dc:creator>
  <cp:lastModifiedBy>上下杭管委会 小谢</cp:lastModifiedBy>
  <cp:lastPrinted>2024-07-08T07:50:00Z</cp:lastPrinted>
  <dcterms:modified xsi:type="dcterms:W3CDTF">2024-08-01T01:22:18Z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6D95E767E3364D08A4EE572E09BC7D6A_13</vt:lpwstr>
  </property>
</Properties>
</file>