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9075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1" w:hRule="atLeast"/>
        </w:trPr>
        <w:tc>
          <w:tcPr>
            <w:tcW w:w="9075" w:type="dxa"/>
          </w:tcPr>
          <w:p>
            <w:pPr>
              <w:spacing w:line="340" w:lineRule="exact"/>
              <w:rPr>
                <w:color w:val="auto"/>
              </w:rPr>
            </w:pPr>
            <w:r>
              <w:rPr>
                <w:rFonts w:hint="eastAsia"/>
                <w:lang w:eastAsia="zh-CN"/>
              </w:rPr>
              <w:t>生态环境</w:t>
            </w:r>
            <w:r>
              <w:t>行</w:t>
            </w:r>
            <w:r>
              <w:rPr>
                <w:color w:val="auto"/>
              </w:rPr>
              <w:t>政主管部门审批意见：</w:t>
            </w:r>
          </w:p>
          <w:p>
            <w:pPr>
              <w:spacing w:line="340" w:lineRule="exact"/>
              <w:ind w:firstLine="420" w:firstLineChars="20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</w:t>
            </w:r>
            <w:r>
              <w:rPr>
                <w:rFonts w:hint="eastAsia"/>
                <w:color w:val="auto"/>
              </w:rPr>
              <w:t>榕台环评〔202</w:t>
            </w:r>
            <w:r>
              <w:rPr>
                <w:rFonts w:hint="eastAsia"/>
                <w:color w:val="auto"/>
                <w:lang w:val="en-US" w:eastAsia="zh-CN"/>
              </w:rPr>
              <w:t>3</w:t>
            </w:r>
            <w:r>
              <w:rPr>
                <w:rFonts w:hint="eastAsia"/>
                <w:color w:val="auto"/>
              </w:rPr>
              <w:t>〕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号</w:t>
            </w:r>
          </w:p>
          <w:p>
            <w:pPr>
              <w:spacing w:line="340" w:lineRule="exact"/>
              <w:ind w:firstLine="420" w:firstLineChars="200"/>
              <w:rPr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中石化森美（福建）石油有限公司福州工业路加油站</w:t>
            </w:r>
            <w:r>
              <w:rPr>
                <w:rFonts w:ascii="Times New Roman" w:hAnsi="Times New Roman" w:cs="Times New Roman"/>
                <w:color w:val="auto"/>
              </w:rPr>
              <w:t>报</w:t>
            </w:r>
            <w:r>
              <w:rPr>
                <w:color w:val="auto"/>
              </w:rPr>
              <w:t>送的</w:t>
            </w:r>
            <w:r>
              <w:rPr>
                <w:rFonts w:hint="default" w:ascii="Times New Roman" w:hAnsi="Times New Roman" w:cs="Times New Roman"/>
                <w:color w:val="auto"/>
              </w:rPr>
              <w:t>《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中石化森美（福建）石油有限公司福州工业路加油站</w:t>
            </w:r>
            <w:r>
              <w:rPr>
                <w:color w:val="auto"/>
              </w:rPr>
              <w:t>》（以下简称报告表</w:t>
            </w:r>
            <w:bookmarkStart w:id="0" w:name="_GoBack"/>
            <w:bookmarkEnd w:id="0"/>
            <w:r>
              <w:rPr>
                <w:color w:val="auto"/>
              </w:rPr>
              <w:t>）及相关申请</w:t>
            </w:r>
            <w:r>
              <w:rPr>
                <w:rFonts w:hint="eastAsia"/>
                <w:color w:val="auto"/>
                <w:lang w:eastAsia="zh-CN"/>
              </w:rPr>
              <w:t>审批的</w:t>
            </w:r>
            <w:r>
              <w:rPr>
                <w:color w:val="auto"/>
              </w:rPr>
              <w:t>材料收悉。根据《中华人民共和国环境影响评价法》第22条等规定，现提出审批意见如下：</w:t>
            </w:r>
          </w:p>
          <w:p>
            <w:pPr>
              <w:spacing w:line="340" w:lineRule="exact"/>
              <w:ind w:firstLine="420" w:firstLineChars="200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cs="Times New Roman"/>
                <w:color w:val="auto"/>
                <w:lang w:eastAsia="zh-CN"/>
              </w:rPr>
              <w:t>一、</w:t>
            </w:r>
            <w:r>
              <w:rPr>
                <w:rFonts w:hint="default" w:ascii="Times New Roman" w:hAnsi="Times New Roman" w:cs="Times New Roman"/>
                <w:color w:val="auto"/>
              </w:rPr>
              <w:t>根据《报告表》评价结论：</w:t>
            </w:r>
            <w:r>
              <w:rPr>
                <w:rFonts w:hint="eastAsia" w:cs="Times New Roman"/>
                <w:color w:val="auto"/>
                <w:lang w:eastAsia="zh-CN"/>
              </w:rPr>
              <w:t>同意中石化森美（福建）石油有限公司福州工业路加油站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在福建省福州市台江区工业路中央商务区北侧A-1地块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建设</w:t>
            </w:r>
            <w:r>
              <w:rPr>
                <w:rFonts w:hint="default" w:ascii="Times New Roman" w:hAnsi="Times New Roman" w:cs="Times New Roman"/>
                <w:color w:val="auto"/>
              </w:rPr>
              <w:t>。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tLeast"/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lang w:eastAsia="zh-CN"/>
              </w:rPr>
              <w:t>二、</w:t>
            </w:r>
            <w:r>
              <w:rPr>
                <w:rFonts w:hint="default" w:ascii="Times New Roman" w:hAnsi="Times New Roman" w:cs="Times New Roman"/>
                <w:color w:val="auto"/>
              </w:rPr>
              <w:t>项目应落实《报告表》提出的各项污染防治措施，并重点做好以下工作：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1）</w:t>
            </w:r>
            <w:r>
              <w:rPr>
                <w:rFonts w:hint="default" w:ascii="Times New Roman" w:hAnsi="Times New Roman" w:cs="Times New Roman"/>
                <w:color w:val="auto"/>
              </w:rPr>
              <w:t>废气</w:t>
            </w:r>
          </w:p>
          <w:p>
            <w:pPr>
              <w:spacing w:line="34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本项目通过</w:t>
            </w:r>
            <w:r>
              <w:rPr>
                <w:rFonts w:ascii="Times New Roman" w:hAnsi="Times New Roman"/>
                <w:color w:val="auto"/>
                <w:szCs w:val="21"/>
              </w:rPr>
              <w:t>安装油气回收及排放处理系统</w:t>
            </w: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auto"/>
                <w:szCs w:val="21"/>
              </w:rPr>
              <w:t>卸油车安装卸油油气回收装置，加油机配备加油油气回收装置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等方式，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防止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加油站运营过程中储油罐呼吸、油罐车卸油损失、加油作业损失、加油跑、冒、滴、漏挥发的油气、汽车尾气等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过程</w:t>
            </w:r>
            <w:r>
              <w:rPr>
                <w:rFonts w:hint="default" w:ascii="Times New Roman" w:hAnsi="Times New Roman"/>
                <w:color w:val="auto"/>
                <w:szCs w:val="21"/>
              </w:rPr>
              <w:t>造成燃料油以气态形式逸出</w:t>
            </w: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zh-CN"/>
              </w:rPr>
              <w:t>运营期油气处理装置排放的油气（非甲烷总烃）执行《加油站大气污染物排放标准》（GB20952-20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中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要求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zh-CN"/>
              </w:rPr>
              <w:t>厂界无组织油气排放执行《加油站大气污染物排放标准》（GB20952-20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zh-CN"/>
              </w:rPr>
              <w:t>）表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3中油气浓度无组织排放限值要求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zh-CN"/>
              </w:rPr>
              <w:t>，站区内无组织油气排放执行《挥发性有机物无组织排放控制标准》（GB37822-2019）表A.1规定的排放限值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spacing w:line="34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</w:rPr>
              <w:t>）废水</w:t>
            </w:r>
          </w:p>
          <w:p>
            <w:pPr>
              <w:spacing w:line="340" w:lineRule="exact"/>
              <w:ind w:firstLine="420" w:firstLineChars="200"/>
              <w:rPr>
                <w:rFonts w:hint="default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zh-CN" w:eastAsia="zh-CN"/>
              </w:rPr>
              <w:t>项目地面冲洗废水经设置于加油站四周的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zh-CN" w:eastAsia="zh-CN"/>
              </w:rPr>
              <w:t>截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zh-CN" w:eastAsia="zh-CN"/>
              </w:rPr>
              <w:t>油沟收集后进入隔油池内进行处理，生活废水经化粪池进行处理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zh-CN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zh-CN" w:eastAsia="zh-CN"/>
              </w:rPr>
              <w:t>项目废水经处理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zh-CN"/>
              </w:rPr>
              <w:t>达标后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zh-CN" w:eastAsia="zh-CN"/>
              </w:rPr>
              <w:t>汇集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zh-CN" w:eastAsia="zh-CN"/>
              </w:rPr>
              <w:t>进入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zh-CN"/>
              </w:rPr>
              <w:t>市政污水管网，纳入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zh-CN" w:eastAsia="zh-CN"/>
              </w:rPr>
              <w:t>福州市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zh-CN"/>
              </w:rPr>
              <w:t>洋里污水处理厂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。</w:t>
            </w:r>
            <w:r>
              <w:rPr>
                <w:color w:val="auto"/>
              </w:rPr>
              <w:t>《污水综合排放标准》（GB8978-1996）表4中三级标准要求（其中NH</w:t>
            </w:r>
            <w:r>
              <w:rPr>
                <w:color w:val="auto"/>
                <w:vertAlign w:val="subscript"/>
              </w:rPr>
              <w:t>3</w:t>
            </w:r>
            <w:r>
              <w:rPr>
                <w:color w:val="auto"/>
              </w:rPr>
              <w:t>-N参照执行《污水排入城镇下水道水质标准》（GB/T31962-2015）表1中B级标准）。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Chars="200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4"/>
                <w:sz w:val="21"/>
                <w:szCs w:val="20"/>
                <w:lang w:val="en-US" w:eastAsia="zh-CN" w:bidi="ar-SA"/>
              </w:rPr>
              <w:t>（3）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4"/>
                <w:sz w:val="21"/>
                <w:szCs w:val="20"/>
                <w:lang w:val="en-US" w:eastAsia="zh-CN" w:bidi="ar-SA"/>
              </w:rPr>
              <w:t>噪声</w:t>
            </w:r>
          </w:p>
          <w:p>
            <w:pPr>
              <w:pStyle w:val="30"/>
              <w:spacing w:before="24" w:after="24"/>
              <w:ind w:firstLine="420" w:firstLineChars="200"/>
              <w:jc w:val="left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  <w:t>建设单位</w:t>
            </w:r>
            <w:r>
              <w:rPr>
                <w:rFonts w:ascii="Times New Roman"/>
                <w:color w:val="auto"/>
              </w:rPr>
              <w:t>选用低噪声级设备；</w:t>
            </w:r>
            <w:r>
              <w:rPr>
                <w:color w:val="auto"/>
              </w:rPr>
              <w:t>采用设备减振、</w:t>
            </w:r>
            <w:r>
              <w:rPr>
                <w:rFonts w:hint="eastAsia"/>
                <w:color w:val="auto"/>
              </w:rPr>
              <w:t>厂区</w:t>
            </w:r>
            <w:r>
              <w:rPr>
                <w:color w:val="auto"/>
              </w:rPr>
              <w:t>绿化降噪等措施。</w:t>
            </w:r>
            <w:r>
              <w:rPr>
                <w:rFonts w:hint="eastAsia" w:ascii="Times New Roman" w:hAnsi="Times New Roman" w:eastAsia="宋体" w:cs="Times New Roman"/>
                <w:color w:val="auto"/>
              </w:rPr>
              <w:t>项目北侧、西侧、南侧厂界噪声</w:t>
            </w:r>
            <w:r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  <w:t>执行</w:t>
            </w:r>
            <w:r>
              <w:rPr>
                <w:rFonts w:hint="eastAsia" w:ascii="Times New Roman" w:hAnsi="Times New Roman" w:eastAsia="宋体" w:cs="Times New Roman"/>
                <w:color w:val="auto"/>
              </w:rPr>
              <w:t>《工业企业厂界环境噪声排放标准》（GB12348-2008）中的4类标准限值，项目东侧厂界噪声</w:t>
            </w:r>
            <w:r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  <w:t>执行</w:t>
            </w:r>
            <w:r>
              <w:rPr>
                <w:rFonts w:hint="eastAsia" w:ascii="Times New Roman" w:hAnsi="Times New Roman" w:eastAsia="宋体" w:cs="Times New Roman"/>
                <w:color w:val="auto"/>
              </w:rPr>
              <w:t>《工业企业厂界环境噪声排放标准》（GB12348-2008）中的2类标准限值。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Chars="200"/>
              <w:jc w:val="left"/>
              <w:rPr>
                <w:rFonts w:hint="default" w:ascii="Times New Roman" w:hAnsi="Times New Roman" w:cs="Times New Roman" w:eastAsiaTheme="minorEastAsia"/>
                <w:bCs/>
                <w:color w:val="auto"/>
                <w:kern w:val="24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24"/>
                <w:sz w:val="21"/>
                <w:szCs w:val="20"/>
                <w:lang w:val="en-US" w:eastAsia="zh-CN" w:bidi="ar-SA"/>
              </w:rPr>
              <w:t>（4）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kern w:val="24"/>
                <w:sz w:val="21"/>
                <w:szCs w:val="20"/>
                <w:lang w:val="en-US" w:eastAsia="zh-CN" w:bidi="ar-SA"/>
              </w:rPr>
              <w:t>固废</w:t>
            </w:r>
          </w:p>
          <w:p>
            <w:pPr>
              <w:ind w:firstLine="420" w:firstLineChars="200"/>
              <w:jc w:val="both"/>
              <w:rPr>
                <w:rFonts w:hint="default" w:ascii="Times New Roman" w:hAnsi="Times New Roman" w:cs="Times New Roman" w:eastAsiaTheme="minorEastAsia"/>
                <w:bCs/>
                <w:color w:val="auto"/>
                <w:kern w:val="24"/>
                <w:sz w:val="21"/>
                <w:szCs w:val="20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隔油池</w:t>
            </w: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油</w:t>
            </w:r>
            <w:r>
              <w:rPr>
                <w:rFonts w:ascii="Times New Roman" w:hAnsi="Times New Roman"/>
                <w:color w:val="auto"/>
                <w:szCs w:val="21"/>
              </w:rPr>
              <w:t>泥及</w:t>
            </w: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废油渣暂存于危险废物暂存间</w:t>
            </w: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zh-CN" w:eastAsia="zh-CN" w:bidi="ar"/>
              </w:rPr>
              <w:t>委托有资质的危废处置单位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zh-CN" w:eastAsia="zh-CN" w:bidi="ar"/>
              </w:rPr>
              <w:t>及时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zh-CN" w:eastAsia="zh-CN" w:bidi="ar"/>
              </w:rPr>
              <w:t>处理</w:t>
            </w:r>
            <w:r>
              <w:rPr>
                <w:rFonts w:ascii="Times New Roman" w:hAnsi="Times New Roman"/>
                <w:color w:val="auto"/>
                <w:szCs w:val="21"/>
              </w:rPr>
              <w:t>；含油废抹布及生活垃圾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kern w:val="24"/>
                <w:sz w:val="21"/>
                <w:szCs w:val="20"/>
                <w:lang w:val="en-US" w:eastAsia="zh-CN" w:bidi="ar-SA"/>
              </w:rPr>
              <w:t>：分类收集，定点堆放，定期交由环卫部门统一清运处理，并对垃圾堆放点定期进行消毒、杀灭害虫、以免散发恶臭，滋生蚊蝇。</w:t>
            </w:r>
          </w:p>
          <w:p>
            <w:pPr>
              <w:numPr>
                <w:ilvl w:val="0"/>
                <w:numId w:val="0"/>
              </w:numPr>
              <w:ind w:leftChars="200"/>
              <w:jc w:val="both"/>
              <w:rPr>
                <w:rFonts w:hint="eastAsia" w:ascii="Times New Roman" w:hAnsi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5）</w:t>
            </w: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土壤及地下水环境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kern w:val="24"/>
                <w:sz w:val="21"/>
                <w:szCs w:val="20"/>
                <w:lang w:val="en-US" w:eastAsia="zh-CN" w:bidi="ar-SA"/>
              </w:rPr>
              <w:t>厂区内地面全部采用水泥抹面，加油区和油罐区采取更严格的硬化和防渗处理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24"/>
                <w:sz w:val="21"/>
                <w:szCs w:val="20"/>
                <w:lang w:val="en-US" w:eastAsia="zh-CN" w:bidi="ar-SA"/>
              </w:rPr>
              <w:t>。项目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kern w:val="24"/>
                <w:sz w:val="21"/>
                <w:szCs w:val="20"/>
                <w:lang w:val="en-US" w:eastAsia="zh-CN" w:bidi="ar-SA"/>
              </w:rPr>
              <w:t>埋地油罐采用内钢外玻璃纤维增强塑料双层壁埋地储油罐，内、外罐壁厚分别不应小于6mm和4mm，并且油罐底板采用30</w:t>
            </w:r>
            <w:r>
              <w:rPr>
                <w:rFonts w:hint="eastAsia" w:ascii="Times New Roman" w:hAnsi="Times New Roman" w:cs="Times New Roman" w:eastAsiaTheme="minorEastAsia"/>
                <w:bCs/>
                <w:color w:val="auto"/>
                <w:kern w:val="24"/>
                <w:sz w:val="21"/>
                <w:szCs w:val="20"/>
                <w:lang w:val="en-US" w:eastAsia="zh-CN" w:bidi="ar-SA"/>
              </w:rPr>
              <w:t>cm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kern w:val="24"/>
                <w:sz w:val="21"/>
                <w:szCs w:val="20"/>
                <w:lang w:val="en-US" w:eastAsia="zh-CN" w:bidi="ar-SA"/>
              </w:rPr>
              <w:t>或50cm厚钢筋混凝土筏板；项目埋地加油管道采用满足工艺需求的双层复合管；项目隔油池采用抗渗钢筋混凝土整体浇筑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24"/>
                <w:sz w:val="21"/>
                <w:szCs w:val="20"/>
                <w:lang w:val="en-US" w:eastAsia="zh-CN" w:bidi="ar-SA"/>
              </w:rPr>
              <w:t>。</w:t>
            </w:r>
          </w:p>
          <w:p>
            <w:pPr>
              <w:adjustRightInd w:val="0"/>
              <w:snapToGrid w:val="0"/>
              <w:ind w:firstLine="420" w:firstLineChars="200"/>
              <w:jc w:val="both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24"/>
                <w:sz w:val="21"/>
                <w:szCs w:val="20"/>
                <w:lang w:val="en-US" w:eastAsia="zh-CN" w:bidi="ar-SA"/>
              </w:rPr>
              <w:t>项目应做好以下</w:t>
            </w:r>
            <w:r>
              <w:rPr>
                <w:color w:val="auto"/>
                <w:spacing w:val="-8"/>
                <w:szCs w:val="21"/>
              </w:rPr>
              <w:t>环境风险防范措施</w:t>
            </w:r>
            <w:r>
              <w:rPr>
                <w:rFonts w:hint="eastAsia" w:eastAsia="Times New Roman" w:cs="Times New Roman"/>
                <w:color w:val="auto"/>
                <w:sz w:val="21"/>
                <w:szCs w:val="21"/>
                <w:lang w:val="zh-CN"/>
              </w:rPr>
              <w:t>项目：油储罐应设置为为双层罐；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zh-CN"/>
              </w:rPr>
              <w:t>采取防火、防爆等措施，配备消防砂池、灭火器</w:t>
            </w:r>
            <w:r>
              <w:rPr>
                <w:rFonts w:hint="eastAsia" w:eastAsia="Times New Roman" w:cs="Times New Roman"/>
                <w:color w:val="auto"/>
                <w:sz w:val="21"/>
                <w:szCs w:val="21"/>
                <w:lang w:val="zh-CN"/>
              </w:rPr>
              <w:t>、吸油毡、水泵、防护装备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zh-CN"/>
              </w:rPr>
              <w:t>等消防设施</w:t>
            </w:r>
            <w:r>
              <w:rPr>
                <w:rFonts w:hint="eastAsia" w:eastAsia="Times New Roman" w:cs="Times New Roman"/>
                <w:color w:val="auto"/>
                <w:sz w:val="21"/>
                <w:szCs w:val="21"/>
                <w:lang w:val="zh-CN"/>
              </w:rPr>
              <w:t>；通气管管口安装阻火器等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，并制定加油站突发环境事件应急预案。</w:t>
            </w:r>
          </w:p>
          <w:p>
            <w:pPr>
              <w:adjustRightInd w:val="0"/>
              <w:snapToGrid w:val="0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三、总量控制：，该项目 VOCs(以非甲烷总烃计)的排放总量为1.429t/a， VOCs 排放量按不低于 1.2 倍进行倍量替代，项目 VOCs 替代量为1.429t/a*1.2=1.715t/a，未超过原福州石油公司工业路加油站项目 VOCs 排放量4.66t/a，因此，中石化森美（福建）石油有限公司福州工业路加油站项目 VOCs 排放量可直接从原福州石油公司工业路加油站环评项目中调剂。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firstLine="420" w:firstLineChars="20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24"/>
                <w:sz w:val="21"/>
                <w:szCs w:val="20"/>
                <w:lang w:val="en-US" w:eastAsia="zh-CN" w:bidi="ar-SA"/>
              </w:rPr>
              <w:t>四、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kern w:val="24"/>
                <w:sz w:val="21"/>
                <w:szCs w:val="20"/>
                <w:lang w:val="en-US" w:eastAsia="zh-CN" w:bidi="ar-SA"/>
              </w:rPr>
              <w:t>建设单位</w:t>
            </w:r>
            <w:r>
              <w:rPr>
                <w:rFonts w:hint="eastAsia" w:cs="Times New Roman" w:eastAsiaTheme="minorEastAsia"/>
                <w:bCs/>
                <w:color w:val="auto"/>
                <w:kern w:val="24"/>
                <w:sz w:val="21"/>
                <w:szCs w:val="20"/>
                <w:lang w:val="en-US" w:eastAsia="zh-CN" w:bidi="ar-SA"/>
              </w:rPr>
              <w:t>应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kern w:val="24"/>
                <w:sz w:val="21"/>
                <w:szCs w:val="20"/>
                <w:lang w:val="en-US" w:eastAsia="zh-CN" w:bidi="ar-SA"/>
              </w:rPr>
              <w:t>严格落实环保“三同时”制度，认真落实报告表提出的各项环保对策措施，加强环境管理与监测，从环境保护角度分析，项目的建设是可行的。</w:t>
            </w:r>
            <w:r>
              <w:rPr>
                <w:rFonts w:hint="eastAsia" w:cs="Times New Roman"/>
                <w:color w:val="auto"/>
                <w:lang w:eastAsia="zh-CN"/>
              </w:rPr>
              <w:t xml:space="preserve">我局委托福州市台江生态环境保护综合执法大队开展项目环保“三同时”监督监察和竣工环保验收后的日常环保监督管理工作。    </w:t>
            </w:r>
          </w:p>
          <w:p>
            <w:pPr>
              <w:spacing w:line="340" w:lineRule="exact"/>
              <w:rPr>
                <w:rFonts w:hint="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 xml:space="preserve">经办人: </w:t>
            </w:r>
            <w:r>
              <w:rPr>
                <w:rFonts w:hint="eastAsia" w:cs="Times New Roman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spacing w:line="340" w:lineRule="exact"/>
              <w:ind w:firstLine="4620" w:firstLineChars="22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</w:t>
            </w:r>
            <w:r>
              <w:t>福州市生态环境</w:t>
            </w:r>
            <w:r>
              <w:rPr>
                <w:rFonts w:hint="eastAsia"/>
                <w:lang w:eastAsia="zh-CN"/>
              </w:rPr>
              <w:t>局</w:t>
            </w:r>
          </w:p>
          <w:p>
            <w:pPr>
              <w:spacing w:line="340" w:lineRule="exact"/>
              <w:ind w:firstLine="420" w:firstLineChars="200"/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2023</w:t>
            </w:r>
            <w:r>
              <w:t>年</w:t>
            </w:r>
            <w:r>
              <w:rPr>
                <w:rFonts w:hint="eastAsia"/>
                <w:lang w:val="en-US" w:eastAsia="zh-CN"/>
              </w:rPr>
              <w:t>6</w:t>
            </w:r>
            <w:r>
              <w:t>月</w:t>
            </w:r>
            <w:r>
              <w:rPr>
                <w:rFonts w:hint="eastAsia"/>
                <w:lang w:val="en-US" w:eastAsia="zh-CN"/>
              </w:rPr>
              <w:t>5</w:t>
            </w:r>
            <w:r>
              <w:t>日</w:t>
            </w:r>
          </w:p>
        </w:tc>
      </w:tr>
    </w:tbl>
    <w:p/>
    <w:sectPr>
      <w:pgSz w:w="11906" w:h="16838"/>
      <w:pgMar w:top="567" w:right="1757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Y2U0YzUxMTAyYzMwMDE4N2Q2MDVkN2M1ZTZlMWYifQ=="/>
  </w:docVars>
  <w:rsids>
    <w:rsidRoot w:val="002F0253"/>
    <w:rsid w:val="00000F1B"/>
    <w:rsid w:val="00027900"/>
    <w:rsid w:val="00040802"/>
    <w:rsid w:val="00056B19"/>
    <w:rsid w:val="00060B0F"/>
    <w:rsid w:val="000822E5"/>
    <w:rsid w:val="00084B57"/>
    <w:rsid w:val="000A4F9D"/>
    <w:rsid w:val="000E3A05"/>
    <w:rsid w:val="000E6217"/>
    <w:rsid w:val="001116E3"/>
    <w:rsid w:val="00112EEF"/>
    <w:rsid w:val="00116771"/>
    <w:rsid w:val="00127CF7"/>
    <w:rsid w:val="00135638"/>
    <w:rsid w:val="00183C03"/>
    <w:rsid w:val="0018662E"/>
    <w:rsid w:val="001B1F54"/>
    <w:rsid w:val="001E1BB0"/>
    <w:rsid w:val="001F6A01"/>
    <w:rsid w:val="00202671"/>
    <w:rsid w:val="002545A3"/>
    <w:rsid w:val="0028478D"/>
    <w:rsid w:val="00286BBE"/>
    <w:rsid w:val="00287E08"/>
    <w:rsid w:val="002914D1"/>
    <w:rsid w:val="002A4F8A"/>
    <w:rsid w:val="002D279D"/>
    <w:rsid w:val="002E3E43"/>
    <w:rsid w:val="002F0253"/>
    <w:rsid w:val="00307DDD"/>
    <w:rsid w:val="00374D27"/>
    <w:rsid w:val="003B0E8C"/>
    <w:rsid w:val="003B3C8B"/>
    <w:rsid w:val="003E2FAB"/>
    <w:rsid w:val="00404652"/>
    <w:rsid w:val="004350A2"/>
    <w:rsid w:val="00465327"/>
    <w:rsid w:val="00481832"/>
    <w:rsid w:val="00487A0E"/>
    <w:rsid w:val="004C0829"/>
    <w:rsid w:val="004D4956"/>
    <w:rsid w:val="00517E3C"/>
    <w:rsid w:val="005223CA"/>
    <w:rsid w:val="00531CB3"/>
    <w:rsid w:val="005463DC"/>
    <w:rsid w:val="00554353"/>
    <w:rsid w:val="00556226"/>
    <w:rsid w:val="005769C3"/>
    <w:rsid w:val="005A3870"/>
    <w:rsid w:val="005C0066"/>
    <w:rsid w:val="005D451E"/>
    <w:rsid w:val="005E4C3C"/>
    <w:rsid w:val="006454BB"/>
    <w:rsid w:val="00656E24"/>
    <w:rsid w:val="006E4402"/>
    <w:rsid w:val="006F3ED5"/>
    <w:rsid w:val="00704E36"/>
    <w:rsid w:val="00777100"/>
    <w:rsid w:val="00777FBD"/>
    <w:rsid w:val="00783107"/>
    <w:rsid w:val="007912BA"/>
    <w:rsid w:val="007A5317"/>
    <w:rsid w:val="007B22D3"/>
    <w:rsid w:val="007C1411"/>
    <w:rsid w:val="007C1430"/>
    <w:rsid w:val="007C1902"/>
    <w:rsid w:val="007C7A35"/>
    <w:rsid w:val="007F1B5A"/>
    <w:rsid w:val="00816ECF"/>
    <w:rsid w:val="00840AE9"/>
    <w:rsid w:val="00850B33"/>
    <w:rsid w:val="00863B58"/>
    <w:rsid w:val="00894996"/>
    <w:rsid w:val="008C451A"/>
    <w:rsid w:val="008C532C"/>
    <w:rsid w:val="008D022A"/>
    <w:rsid w:val="008E5015"/>
    <w:rsid w:val="008F5B5B"/>
    <w:rsid w:val="0092135D"/>
    <w:rsid w:val="00921439"/>
    <w:rsid w:val="00932133"/>
    <w:rsid w:val="009404DF"/>
    <w:rsid w:val="0094364D"/>
    <w:rsid w:val="009B4650"/>
    <w:rsid w:val="009E1327"/>
    <w:rsid w:val="00A46F9B"/>
    <w:rsid w:val="00A673A7"/>
    <w:rsid w:val="00A72BB6"/>
    <w:rsid w:val="00AD4BB2"/>
    <w:rsid w:val="00AE2824"/>
    <w:rsid w:val="00B3396C"/>
    <w:rsid w:val="00B42CA2"/>
    <w:rsid w:val="00B7188C"/>
    <w:rsid w:val="00BD0546"/>
    <w:rsid w:val="00BE5DF9"/>
    <w:rsid w:val="00C063A1"/>
    <w:rsid w:val="00C2593A"/>
    <w:rsid w:val="00C3174B"/>
    <w:rsid w:val="00C34B7A"/>
    <w:rsid w:val="00C36599"/>
    <w:rsid w:val="00C41158"/>
    <w:rsid w:val="00D26826"/>
    <w:rsid w:val="00D32031"/>
    <w:rsid w:val="00D42EDE"/>
    <w:rsid w:val="00D43C2B"/>
    <w:rsid w:val="00D502EC"/>
    <w:rsid w:val="00D57B9B"/>
    <w:rsid w:val="00D94BA2"/>
    <w:rsid w:val="00DF6E20"/>
    <w:rsid w:val="00E00DF2"/>
    <w:rsid w:val="00E25C4A"/>
    <w:rsid w:val="00E56C8B"/>
    <w:rsid w:val="00E933D0"/>
    <w:rsid w:val="00E969EA"/>
    <w:rsid w:val="00E96D5E"/>
    <w:rsid w:val="00EB3751"/>
    <w:rsid w:val="00EE2A0E"/>
    <w:rsid w:val="00EE7301"/>
    <w:rsid w:val="00F03E62"/>
    <w:rsid w:val="00F70735"/>
    <w:rsid w:val="00F73B0F"/>
    <w:rsid w:val="00FA2BA3"/>
    <w:rsid w:val="00FC3CF3"/>
    <w:rsid w:val="041B3BAA"/>
    <w:rsid w:val="050E4732"/>
    <w:rsid w:val="06631998"/>
    <w:rsid w:val="08F42CA5"/>
    <w:rsid w:val="0AE47146"/>
    <w:rsid w:val="0F131F4D"/>
    <w:rsid w:val="118434AB"/>
    <w:rsid w:val="124F10E5"/>
    <w:rsid w:val="147F4BBF"/>
    <w:rsid w:val="16104E59"/>
    <w:rsid w:val="18473978"/>
    <w:rsid w:val="1AF91B00"/>
    <w:rsid w:val="1B5D1E74"/>
    <w:rsid w:val="1C486990"/>
    <w:rsid w:val="1DD173D9"/>
    <w:rsid w:val="1F562CD8"/>
    <w:rsid w:val="250B2A77"/>
    <w:rsid w:val="251E1509"/>
    <w:rsid w:val="254A2079"/>
    <w:rsid w:val="27844BB0"/>
    <w:rsid w:val="2A1E075D"/>
    <w:rsid w:val="2A2A7127"/>
    <w:rsid w:val="2B1449BC"/>
    <w:rsid w:val="2C7911D6"/>
    <w:rsid w:val="2F355876"/>
    <w:rsid w:val="2F834982"/>
    <w:rsid w:val="33780CF4"/>
    <w:rsid w:val="36EB6276"/>
    <w:rsid w:val="38EB604F"/>
    <w:rsid w:val="3AA01AB2"/>
    <w:rsid w:val="3BF122DD"/>
    <w:rsid w:val="3FD75D85"/>
    <w:rsid w:val="40D70CC1"/>
    <w:rsid w:val="41BB286D"/>
    <w:rsid w:val="4253255E"/>
    <w:rsid w:val="443A3632"/>
    <w:rsid w:val="46D540D8"/>
    <w:rsid w:val="4A897868"/>
    <w:rsid w:val="4E2E0EA5"/>
    <w:rsid w:val="4E4A7E00"/>
    <w:rsid w:val="559C6BD9"/>
    <w:rsid w:val="574C11EA"/>
    <w:rsid w:val="59D253EF"/>
    <w:rsid w:val="5D802B99"/>
    <w:rsid w:val="680A43A3"/>
    <w:rsid w:val="69F83B0B"/>
    <w:rsid w:val="6A0D3843"/>
    <w:rsid w:val="6BBD5B5B"/>
    <w:rsid w:val="6CC877B5"/>
    <w:rsid w:val="71F63242"/>
    <w:rsid w:val="79E42C79"/>
    <w:rsid w:val="7A340E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semiHidden="0" w:name="Body Text First Indent 2"/>
    <w:lsdException w:qFormat="1" w:unhideWhenUsed="0" w:uiPriority="0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3"/>
    <w:unhideWhenUsed/>
    <w:qFormat/>
    <w:uiPriority w:val="99"/>
    <w:pPr>
      <w:spacing w:line="360" w:lineRule="auto"/>
      <w:ind w:left="0" w:leftChars="0" w:firstLine="1044" w:firstLineChars="200"/>
    </w:pPr>
    <w:rPr>
      <w:kern w:val="2"/>
    </w:rPr>
  </w:style>
  <w:style w:type="paragraph" w:styleId="3">
    <w:name w:val="Body Text First Indent"/>
    <w:basedOn w:val="4"/>
    <w:next w:val="1"/>
    <w:qFormat/>
    <w:uiPriority w:val="0"/>
    <w:pPr>
      <w:widowControl w:val="0"/>
      <w:snapToGrid/>
      <w:spacing w:before="0" w:after="120" w:line="360" w:lineRule="auto"/>
      <w:ind w:right="0" w:firstLine="200" w:firstLineChars="200"/>
    </w:pPr>
    <w:rPr>
      <w:snapToGrid w:val="0"/>
      <w:color w:val="000000"/>
      <w:kern w:val="2"/>
      <w:sz w:val="24"/>
    </w:rPr>
  </w:style>
  <w:style w:type="paragraph" w:styleId="4">
    <w:name w:val="Body Text"/>
    <w:basedOn w:val="1"/>
    <w:next w:val="5"/>
    <w:qFormat/>
    <w:uiPriority w:val="0"/>
    <w:pPr>
      <w:widowControl/>
      <w:snapToGrid w:val="0"/>
      <w:spacing w:before="60" w:after="160" w:line="259" w:lineRule="auto"/>
      <w:ind w:right="113"/>
    </w:pPr>
    <w:rPr>
      <w:kern w:val="0"/>
      <w:sz w:val="18"/>
      <w:szCs w:val="20"/>
    </w:rPr>
  </w:style>
  <w:style w:type="paragraph" w:styleId="5">
    <w:name w:val="Note Heading"/>
    <w:basedOn w:val="1"/>
    <w:next w:val="1"/>
    <w:qFormat/>
    <w:uiPriority w:val="0"/>
    <w:pPr>
      <w:spacing w:line="360" w:lineRule="auto"/>
      <w:ind w:firstLine="200" w:firstLineChars="200"/>
      <w:jc w:val="center"/>
    </w:pPr>
    <w:rPr>
      <w:sz w:val="24"/>
      <w:szCs w:val="20"/>
    </w:rPr>
  </w:style>
  <w:style w:type="paragraph" w:styleId="6">
    <w:name w:val="Normal Indent"/>
    <w:basedOn w:val="1"/>
    <w:next w:val="1"/>
    <w:qFormat/>
    <w:uiPriority w:val="0"/>
    <w:pPr>
      <w:ind w:firstLine="420"/>
    </w:pPr>
  </w:style>
  <w:style w:type="paragraph" w:styleId="7">
    <w:name w:val="annotation text"/>
    <w:basedOn w:val="1"/>
    <w:link w:val="26"/>
    <w:unhideWhenUsed/>
    <w:qFormat/>
    <w:uiPriority w:val="99"/>
    <w:pPr>
      <w:jc w:val="left"/>
    </w:pPr>
  </w:style>
  <w:style w:type="paragraph" w:styleId="8">
    <w:name w:val="Body Text Indent"/>
    <w:basedOn w:val="1"/>
    <w:link w:val="23"/>
    <w:qFormat/>
    <w:uiPriority w:val="0"/>
    <w:pPr>
      <w:spacing w:after="120"/>
      <w:ind w:left="420" w:leftChars="200"/>
    </w:pPr>
  </w:style>
  <w:style w:type="paragraph" w:styleId="9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rPr>
      <w:sz w:val="24"/>
    </w:rPr>
  </w:style>
  <w:style w:type="paragraph" w:styleId="13">
    <w:name w:val="annotation subject"/>
    <w:basedOn w:val="7"/>
    <w:next w:val="7"/>
    <w:link w:val="27"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annotation reference"/>
    <w:basedOn w:val="16"/>
    <w:unhideWhenUsed/>
    <w:qFormat/>
    <w:uiPriority w:val="99"/>
    <w:rPr>
      <w:sz w:val="21"/>
      <w:szCs w:val="21"/>
    </w:rPr>
  </w:style>
  <w:style w:type="paragraph" w:customStyle="1" w:styleId="18">
    <w:name w:val="正文(首行缩进)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color w:val="000000"/>
      <w:kern w:val="24"/>
      <w:szCs w:val="20"/>
    </w:rPr>
  </w:style>
  <w:style w:type="character" w:customStyle="1" w:styleId="19">
    <w:name w:val="页眉 Char"/>
    <w:basedOn w:val="16"/>
    <w:link w:val="11"/>
    <w:qFormat/>
    <w:uiPriority w:val="99"/>
    <w:rPr>
      <w:sz w:val="18"/>
      <w:szCs w:val="18"/>
    </w:rPr>
  </w:style>
  <w:style w:type="character" w:customStyle="1" w:styleId="20">
    <w:name w:val="页脚 Char"/>
    <w:basedOn w:val="16"/>
    <w:link w:val="10"/>
    <w:qFormat/>
    <w:uiPriority w:val="99"/>
    <w:rPr>
      <w:sz w:val="18"/>
      <w:szCs w:val="18"/>
    </w:rPr>
  </w:style>
  <w:style w:type="paragraph" w:customStyle="1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表格内容"/>
    <w:basedOn w:val="1"/>
    <w:qFormat/>
    <w:uiPriority w:val="0"/>
    <w:pPr>
      <w:adjustRightInd w:val="0"/>
      <w:snapToGrid w:val="0"/>
      <w:jc w:val="center"/>
    </w:pPr>
    <w:rPr>
      <w:snapToGrid w:val="0"/>
      <w:szCs w:val="18"/>
    </w:rPr>
  </w:style>
  <w:style w:type="character" w:customStyle="1" w:styleId="23">
    <w:name w:val="正文文本缩进 Char"/>
    <w:basedOn w:val="16"/>
    <w:link w:val="8"/>
    <w:qFormat/>
    <w:uiPriority w:val="0"/>
    <w:rPr>
      <w:kern w:val="2"/>
      <w:sz w:val="21"/>
    </w:rPr>
  </w:style>
  <w:style w:type="paragraph" w:customStyle="1" w:styleId="24">
    <w:name w:val="Char"/>
    <w:basedOn w:val="1"/>
    <w:qFormat/>
    <w:uiPriority w:val="0"/>
    <w:pPr>
      <w:spacing w:line="360" w:lineRule="auto"/>
    </w:pPr>
    <w:rPr>
      <w:szCs w:val="24"/>
    </w:rPr>
  </w:style>
  <w:style w:type="character" w:customStyle="1" w:styleId="25">
    <w:name w:val="批注框文本 Char"/>
    <w:basedOn w:val="16"/>
    <w:link w:val="9"/>
    <w:semiHidden/>
    <w:qFormat/>
    <w:uiPriority w:val="99"/>
    <w:rPr>
      <w:kern w:val="2"/>
      <w:sz w:val="18"/>
      <w:szCs w:val="18"/>
    </w:rPr>
  </w:style>
  <w:style w:type="character" w:customStyle="1" w:styleId="26">
    <w:name w:val="批注文字 Char"/>
    <w:basedOn w:val="16"/>
    <w:link w:val="7"/>
    <w:semiHidden/>
    <w:qFormat/>
    <w:uiPriority w:val="99"/>
    <w:rPr>
      <w:kern w:val="2"/>
      <w:sz w:val="21"/>
    </w:rPr>
  </w:style>
  <w:style w:type="character" w:customStyle="1" w:styleId="27">
    <w:name w:val="批注主题 Char"/>
    <w:basedOn w:val="26"/>
    <w:link w:val="13"/>
    <w:semiHidden/>
    <w:qFormat/>
    <w:uiPriority w:val="99"/>
    <w:rPr>
      <w:b/>
      <w:bCs/>
    </w:rPr>
  </w:style>
  <w:style w:type="paragraph" w:customStyle="1" w:styleId="28">
    <w:name w:val="正文（小四）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bCs/>
      <w:color w:val="000000"/>
      <w:kern w:val="2"/>
      <w:sz w:val="24"/>
      <w:szCs w:val="32"/>
      <w:lang w:val="en-US" w:eastAsia="zh-CN" w:bidi="ar-SA"/>
    </w:rPr>
  </w:style>
  <w:style w:type="paragraph" w:customStyle="1" w:styleId="29">
    <w:name w:val="1正文（chuan）"/>
    <w:basedOn w:val="1"/>
    <w:qFormat/>
    <w:uiPriority w:val="0"/>
    <w:pPr>
      <w:spacing w:line="360" w:lineRule="auto"/>
      <w:ind w:firstLine="480" w:firstLineChars="200"/>
    </w:pPr>
    <w:rPr>
      <w:kern w:val="0"/>
      <w:sz w:val="24"/>
      <w:szCs w:val="20"/>
    </w:rPr>
  </w:style>
  <w:style w:type="paragraph" w:customStyle="1" w:styleId="30">
    <w:name w:val="表格"/>
    <w:basedOn w:val="1"/>
    <w:next w:val="1"/>
    <w:qFormat/>
    <w:uiPriority w:val="0"/>
    <w:pPr>
      <w:adjustRightInd w:val="0"/>
      <w:snapToGrid w:val="0"/>
      <w:spacing w:beforeLines="10" w:afterLines="10" w:line="259" w:lineRule="auto"/>
      <w:jc w:val="center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1381</Words>
  <Characters>1535</Characters>
  <Lines>10</Lines>
  <Paragraphs>2</Paragraphs>
  <TotalTime>7</TotalTime>
  <ScaleCrop>false</ScaleCrop>
  <LinksUpToDate>false</LinksUpToDate>
  <CharactersWithSpaces>1747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2021-05-14T08:42:00Z</dcterms:created>
  <dc:creator>User</dc:creator>
  <cp:lastModifiedBy>NTKO</cp:lastModifiedBy>
  <cp:lastPrinted>2023-06-05T02:56:16Z</cp:lastPrinted>
  <dcterms:modified xsi:type="dcterms:W3CDTF">2023-06-05T02:56:21Z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32AEF2EEF40B44728337ADAFA63838FA_13</vt:lpwstr>
  </property>
</Properties>
</file>