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办事指南事项填报表</w:t>
      </w:r>
    </w:p>
    <w:tbl>
      <w:tblPr>
        <w:tblStyle w:val="2"/>
        <w:tblpPr w:leftFromText="180" w:rightFromText="180" w:vertAnchor="page" w:horzAnchor="margin" w:tblpY="2281"/>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劳务派遣经营许可</w:t>
            </w:r>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350103000000003616417001</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CellMar>
            <w:top w:w="0" w:type="dxa"/>
            <w:left w:w="108" w:type="dxa"/>
            <w:bottom w:w="0" w:type="dxa"/>
            <w:right w:w="108" w:type="dxa"/>
          </w:tblCellMar>
        </w:tblPrEx>
        <w:trPr>
          <w:trHeight w:val="1294"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1、《劳动合同法》（全国人大常委会2012年12月28日修改）第五十七条经营劳务派遣业务，应当向劳动行政部门依法申请行政许可； 2、《劳务派遣行政许可实施办法》（人社部令第19号）第六条经营劳务派遣业务，应当向所在地有许可管辖权的人力资源社会保障行政部门（以下称许可机关）依法申请行政许可。 3、《劳务派遣暂行规定》( 2014年人力资源和社会保障部令第22号)。 4、《福建省人社厅关于做好劳务派遣行政许可工作的通知》(闽人社文[2013]231号二（1）劳务派遣行政许可按属地实行省、设区市、县分级管理，由经营劳务派遣业务单位工商注册所在地的人力资源社会保障行政部门负责行政许可审批。设区市所辖的区的劳务派遣行政许可管辖分工，由所在设区市人力资源社会保障行政部门确定。 5、《福建省人社厅办公室关于进一步明确下放特殊工时制度审批、经营劳务派遣业务审批有关问题的通知》（闽人社办〔2015〕218号）一、（二）省工商局注册的企业，由福州市人力资源社会保障局负责审批。</w:t>
            </w:r>
          </w:p>
        </w:tc>
      </w:tr>
      <w:tr>
        <w:tblPrEx>
          <w:tblCellMar>
            <w:top w:w="0" w:type="dxa"/>
            <w:left w:w="108" w:type="dxa"/>
            <w:bottom w:w="0" w:type="dxa"/>
            <w:right w:w="108" w:type="dxa"/>
          </w:tblCellMar>
        </w:tblPrEx>
        <w:trPr>
          <w:trHeight w:val="130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pStyle w:val="6"/>
              <w:tabs>
                <w:tab w:val="left" w:pos="425"/>
              </w:tabs>
              <w:spacing w:line="260" w:lineRule="exact"/>
              <w:ind w:left="0" w:firstLine="0"/>
              <w:rPr>
                <w:rFonts w:ascii="Helvetica" w:hAnsi="Helvetica" w:cs="Arial"/>
                <w:color w:val="444444"/>
                <w:sz w:val="18"/>
                <w:szCs w:val="18"/>
              </w:rPr>
            </w:pPr>
            <w:r>
              <w:rPr>
                <w:rFonts w:hint="eastAsia" w:ascii="Helvetica" w:hAnsi="Helvetica" w:cs="Arial"/>
                <w:color w:val="444444"/>
                <w:sz w:val="18"/>
                <w:szCs w:val="18"/>
              </w:rPr>
              <w:t>1.收件审核：申请人到受理窗口提交材料后，由窗口人员当场审查申请材料，材料不齐全的或不符合条件的，当场一次性告知，出具《缺件告知单》或《补正通知单》；材料齐全的，出具《受理承诺单》；条件具备且符合要求的提出办理意见，提交审批人审批；</w:t>
            </w:r>
          </w:p>
          <w:p>
            <w:pPr>
              <w:pStyle w:val="6"/>
              <w:tabs>
                <w:tab w:val="left" w:pos="425"/>
              </w:tabs>
              <w:spacing w:line="260" w:lineRule="exact"/>
              <w:ind w:left="0" w:firstLine="0"/>
              <w:rPr>
                <w:rFonts w:ascii="Helvetica" w:hAnsi="Helvetica" w:cs="Arial"/>
                <w:color w:val="444444"/>
                <w:sz w:val="18"/>
                <w:szCs w:val="18"/>
              </w:rPr>
            </w:pPr>
            <w:r>
              <w:rPr>
                <w:rFonts w:hint="eastAsia" w:ascii="Helvetica" w:hAnsi="Helvetica" w:cs="Arial"/>
                <w:color w:val="444444"/>
                <w:sz w:val="18"/>
                <w:szCs w:val="18"/>
              </w:rPr>
              <w:t>2.现场勘查：现场勘查人员到现场勘查，不符合要求的，出具《整改通知书》；符合要求的，提交审批人审批；</w:t>
            </w:r>
          </w:p>
          <w:p>
            <w:pPr>
              <w:pStyle w:val="6"/>
              <w:tabs>
                <w:tab w:val="left" w:pos="425"/>
              </w:tabs>
              <w:spacing w:line="260" w:lineRule="exact"/>
              <w:ind w:left="0" w:firstLine="0"/>
              <w:rPr>
                <w:rFonts w:ascii="仿宋_GB2312" w:hAnsi="仿宋_GB2312" w:eastAsia="仿宋_GB2312" w:cs="宋体"/>
                <w:sz w:val="18"/>
                <w:szCs w:val="18"/>
              </w:rPr>
            </w:pPr>
            <w:r>
              <w:rPr>
                <w:rFonts w:hint="eastAsia" w:ascii="Helvetica" w:hAnsi="Helvetica" w:cs="Arial"/>
                <w:color w:val="444444"/>
                <w:sz w:val="18"/>
                <w:szCs w:val="18"/>
              </w:rPr>
              <w:t>3.审批办结：审批后，申请人到受理窗口领取文件（批文、证照等）。</w:t>
            </w:r>
          </w:p>
        </w:tc>
      </w:tr>
      <w:tr>
        <w:tblPrEx>
          <w:tblCellMar>
            <w:top w:w="0" w:type="dxa"/>
            <w:left w:w="108" w:type="dxa"/>
            <w:bottom w:w="0" w:type="dxa"/>
            <w:right w:w="108" w:type="dxa"/>
          </w:tblCellMar>
        </w:tblPrEx>
        <w:trPr>
          <w:trHeight w:val="714"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ascii="宋体" w:hAnsi="宋体" w:cs="宋体"/>
                <w:color w:val="333333"/>
                <w:sz w:val="18"/>
                <w:szCs w:val="18"/>
              </w:rPr>
            </w:pPr>
            <w:r>
              <w:rPr>
                <w:rFonts w:hint="eastAsia" w:ascii="宋体" w:hAnsi="宋体" w:cs="宋体"/>
                <w:color w:val="333333"/>
                <w:sz w:val="18"/>
                <w:szCs w:val="18"/>
              </w:rPr>
              <w:t xml:space="preserve">1.注册资本不得少于人民币二百万元； </w:t>
            </w:r>
          </w:p>
          <w:p>
            <w:pPr>
              <w:rPr>
                <w:rFonts w:ascii="宋体" w:hAnsi="宋体" w:cs="宋体"/>
                <w:color w:val="333333"/>
                <w:sz w:val="18"/>
                <w:szCs w:val="18"/>
              </w:rPr>
            </w:pPr>
            <w:r>
              <w:rPr>
                <w:rFonts w:hint="eastAsia" w:ascii="宋体" w:hAnsi="宋体" w:cs="宋体"/>
                <w:color w:val="333333"/>
                <w:sz w:val="18"/>
                <w:szCs w:val="18"/>
              </w:rPr>
              <w:t>2.有与开展业务相适应的固定的经营场所和设施；</w:t>
            </w:r>
          </w:p>
          <w:p>
            <w:pPr>
              <w:rPr>
                <w:rFonts w:ascii="宋体" w:hAnsi="宋体" w:cs="宋体"/>
                <w:color w:val="333333"/>
                <w:sz w:val="18"/>
                <w:szCs w:val="18"/>
              </w:rPr>
            </w:pPr>
            <w:r>
              <w:rPr>
                <w:rFonts w:hint="eastAsia" w:ascii="宋体" w:hAnsi="宋体" w:cs="宋体"/>
                <w:color w:val="333333"/>
                <w:sz w:val="18"/>
                <w:szCs w:val="18"/>
              </w:rPr>
              <w:t>3.有符合法律、行政法规规定的劳务派遣管理制度；</w:t>
            </w:r>
          </w:p>
        </w:tc>
      </w:tr>
      <w:tr>
        <w:tblPrEx>
          <w:tblCellMar>
            <w:top w:w="0" w:type="dxa"/>
            <w:left w:w="108" w:type="dxa"/>
            <w:bottom w:w="0" w:type="dxa"/>
            <w:right w:w="108" w:type="dxa"/>
          </w:tblCellMar>
        </w:tblPrEx>
        <w:trPr>
          <w:trHeight w:val="274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 xml:space="preserve">1.劳务派遣经营许可申请书； </w:t>
            </w:r>
          </w:p>
          <w:p>
            <w:pPr>
              <w:rPr>
                <w:rFonts w:ascii="宋体" w:hAnsi="宋体" w:cs="宋体"/>
                <w:sz w:val="18"/>
                <w:szCs w:val="18"/>
              </w:rPr>
            </w:pPr>
            <w:r>
              <w:rPr>
                <w:rFonts w:hint="eastAsia" w:ascii="宋体" w:hAnsi="宋体" w:cs="宋体"/>
                <w:sz w:val="18"/>
                <w:szCs w:val="18"/>
              </w:rPr>
              <w:t>2.营业执照或者《企业名称预先核准通知书》；</w:t>
            </w:r>
          </w:p>
          <w:p>
            <w:pPr>
              <w:rPr>
                <w:rFonts w:ascii="宋体" w:hAnsi="宋体" w:cs="宋体"/>
                <w:sz w:val="18"/>
                <w:szCs w:val="18"/>
              </w:rPr>
            </w:pPr>
            <w:r>
              <w:rPr>
                <w:rFonts w:hint="eastAsia" w:ascii="宋体" w:hAnsi="宋体" w:cs="宋体"/>
                <w:sz w:val="18"/>
                <w:szCs w:val="18"/>
              </w:rPr>
              <w:t>3.公司章程以及验资机构出具的验资报告或者财务审计报告；</w:t>
            </w:r>
          </w:p>
          <w:p>
            <w:pPr>
              <w:rPr>
                <w:rFonts w:ascii="宋体" w:hAnsi="宋体" w:cs="宋体"/>
                <w:sz w:val="18"/>
                <w:szCs w:val="18"/>
              </w:rPr>
            </w:pPr>
            <w:r>
              <w:rPr>
                <w:rFonts w:hint="eastAsia" w:ascii="宋体" w:hAnsi="宋体" w:cs="宋体"/>
                <w:sz w:val="18"/>
                <w:szCs w:val="18"/>
              </w:rPr>
              <w:t>4.经营场所的使用证明（含场地说明）以及与开展业务相适应的办公设施设备、信息管理系统清单；</w:t>
            </w:r>
          </w:p>
          <w:p>
            <w:pPr>
              <w:rPr>
                <w:rFonts w:ascii="宋体" w:hAnsi="宋体" w:cs="宋体"/>
                <w:sz w:val="18"/>
                <w:szCs w:val="18"/>
              </w:rPr>
            </w:pPr>
            <w:r>
              <w:rPr>
                <w:rFonts w:hint="eastAsia" w:ascii="宋体" w:hAnsi="宋体" w:cs="宋体"/>
                <w:sz w:val="18"/>
                <w:szCs w:val="18"/>
              </w:rPr>
              <w:t>5.法定代表人的身份证复印件；</w:t>
            </w:r>
          </w:p>
          <w:p>
            <w:pPr>
              <w:rPr>
                <w:rFonts w:ascii="宋体" w:hAnsi="宋体" w:cs="宋体"/>
                <w:sz w:val="18"/>
                <w:szCs w:val="18"/>
              </w:rPr>
            </w:pPr>
            <w:r>
              <w:rPr>
                <w:rFonts w:hint="eastAsia" w:ascii="宋体" w:hAnsi="宋体" w:cs="宋体"/>
                <w:sz w:val="18"/>
                <w:szCs w:val="18"/>
              </w:rPr>
              <w:t>6.劳务派遣管理制度和拟与用工单位签订的劳务派遣协议样本；</w:t>
            </w:r>
          </w:p>
          <w:p>
            <w:pPr>
              <w:rPr>
                <w:rFonts w:ascii="宋体" w:hAnsi="宋体" w:cs="宋体"/>
                <w:sz w:val="18"/>
                <w:szCs w:val="18"/>
              </w:rPr>
            </w:pPr>
            <w:r>
              <w:rPr>
                <w:rFonts w:hint="eastAsia" w:ascii="宋体" w:hAnsi="宋体" w:cs="宋体"/>
                <w:sz w:val="18"/>
                <w:szCs w:val="18"/>
              </w:rPr>
              <w:t>7.申请单位法定代表人或自然人本人来申请的，应提交其身份证复印件；委托他人申请的，应提交授权委托书原件及代理人身份证复印件。</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收费依据</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20个工作日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5个工作日</w:t>
            </w:r>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证照及批文</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需按《劳务派遣行政许可》第二十二条第二款规定参加年度核验</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hint="default" w:ascii="宋体" w:hAnsi="宋体" w:cs="宋体" w:eastAsiaTheme="minorEastAsia"/>
                <w:sz w:val="18"/>
                <w:szCs w:val="18"/>
                <w:lang w:val="en-US" w:eastAsia="zh-CN"/>
              </w:rPr>
            </w:pPr>
            <w:r>
              <w:rPr>
                <w:rFonts w:hint="eastAsia"/>
                <w:sz w:val="18"/>
                <w:szCs w:val="18"/>
              </w:rPr>
              <w:t>福州市台江区</w:t>
            </w:r>
            <w:r>
              <w:rPr>
                <w:rFonts w:hint="eastAsia"/>
                <w:sz w:val="18"/>
                <w:szCs w:val="18"/>
                <w:lang w:eastAsia="zh-CN"/>
              </w:rPr>
              <w:t>儿童公园路</w:t>
            </w:r>
            <w:r>
              <w:rPr>
                <w:rFonts w:hint="eastAsia"/>
                <w:sz w:val="18"/>
                <w:szCs w:val="18"/>
                <w:lang w:val="en-US" w:eastAsia="zh-CN"/>
              </w:rPr>
              <w:t>101号台江区（市民）行政服务中心二层社会事务类26-29窗口</w:t>
            </w:r>
            <w:bookmarkStart w:id="0" w:name="_GoBack"/>
            <w:bookmarkEnd w:id="0"/>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非夏时制：上午9:00-12:00，下午1:00-5:00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注意事项</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√设立变更  □纳税  □年检年审  □质量检查  □安全防护  □商务活动  </w:t>
            </w:r>
          </w:p>
          <w:p>
            <w:pPr>
              <w:widowControl/>
              <w:spacing w:line="260" w:lineRule="exact"/>
              <w:rPr>
                <w:rFonts w:ascii="宋体" w:hAnsi="宋体" w:cs="宋体"/>
                <w:kern w:val="0"/>
                <w:sz w:val="18"/>
                <w:szCs w:val="18"/>
              </w:rPr>
            </w:pPr>
            <w:r>
              <w:rPr>
                <w:rFonts w:hint="eastAsia" w:ascii="宋体" w:hAnsi="宋体" w:cs="宋体"/>
                <w:kern w:val="0"/>
                <w:sz w:val="18"/>
                <w:szCs w:val="18"/>
              </w:rPr>
              <w:t>□劳动保障  □人力资源 □资质认证  □建设管理  □破产注销  □综合其他</w:t>
            </w:r>
          </w:p>
        </w:tc>
      </w:tr>
    </w:tbl>
    <w:p>
      <w:pPr>
        <w:jc w:val="cente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DC"/>
    <w:rsid w:val="00071BDB"/>
    <w:rsid w:val="006965FC"/>
    <w:rsid w:val="009659DC"/>
    <w:rsid w:val="0DF61EED"/>
    <w:rsid w:val="155B68CE"/>
    <w:rsid w:val="2B6E6973"/>
    <w:rsid w:val="423B7324"/>
    <w:rsid w:val="5D9C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FollowedHyperlink"/>
    <w:basedOn w:val="3"/>
    <w:uiPriority w:val="0"/>
    <w:rPr>
      <w:color w:val="444444"/>
      <w:u w:val="none"/>
    </w:rPr>
  </w:style>
  <w:style w:type="character" w:styleId="5">
    <w:name w:val="Hyperlink"/>
    <w:basedOn w:val="3"/>
    <w:uiPriority w:val="0"/>
    <w:rPr>
      <w:color w:val="444444"/>
      <w:u w:val="none"/>
    </w:rPr>
  </w:style>
  <w:style w:type="paragraph" w:customStyle="1" w:styleId="6">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character" w:customStyle="1" w:styleId="7">
    <w:name w:val="disabled"/>
    <w:basedOn w:val="3"/>
    <w:uiPriority w:val="0"/>
    <w:rPr>
      <w:color w:val="929292"/>
      <w:bdr w:val="single" w:color="929292" w:sz="6" w:space="0"/>
    </w:rPr>
  </w:style>
  <w:style w:type="character" w:customStyle="1" w:styleId="8">
    <w:name w:val="current"/>
    <w:basedOn w:val="3"/>
    <w:uiPriority w:val="0"/>
    <w:rPr>
      <w:b/>
      <w:color w:val="FFFFFF"/>
      <w:bdr w:val="single" w:color="000080" w:sz="6" w:space="0"/>
      <w:shd w:val="clear" w:color="auto" w:fill="2E6AB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231</Words>
  <Characters>1323</Characters>
  <Lines>11</Lines>
  <Paragraphs>3</Paragraphs>
  <TotalTime>11</TotalTime>
  <ScaleCrop>false</ScaleCrop>
  <LinksUpToDate>false</LinksUpToDate>
  <CharactersWithSpaces>1551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dcterms:modified xsi:type="dcterms:W3CDTF">2020-10-28T03:48:48Z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