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办事指南事项填报表</w:t>
      </w:r>
    </w:p>
    <w:tbl>
      <w:tblPr>
        <w:tblStyle w:val="2"/>
        <w:tblpPr w:leftFromText="180" w:rightFromText="180" w:vertAnchor="page" w:horzAnchor="page" w:tblpX="1710" w:tblpY="2373"/>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民办职业资格培训、职业技能培训学校终止审批</w:t>
            </w:r>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350103000000003616417008</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tcPr>
          <w:p>
            <w:pPr>
              <w:autoSpaceDE w:val="0"/>
              <w:autoSpaceDN w:val="0"/>
              <w:rPr>
                <w:rFonts w:ascii="宋体" w:cs="宋体"/>
                <w:kern w:val="0"/>
                <w:sz w:val="18"/>
                <w:szCs w:val="18"/>
              </w:rPr>
            </w:pPr>
            <w:r>
              <w:rPr>
                <w:rFonts w:hint="eastAsia" w:ascii="宋体" w:cs="宋体"/>
                <w:kern w:val="0"/>
                <w:sz w:val="18"/>
                <w:szCs w:val="18"/>
              </w:rPr>
              <w:t>行政许可</w:t>
            </w:r>
          </w:p>
        </w:tc>
      </w:tr>
      <w:tr>
        <w:tblPrEx>
          <w:tblCellMar>
            <w:top w:w="0" w:type="dxa"/>
            <w:left w:w="108" w:type="dxa"/>
            <w:bottom w:w="0" w:type="dxa"/>
            <w:right w:w="108" w:type="dxa"/>
          </w:tblCellMar>
        </w:tblPrEx>
        <w:trPr>
          <w:trHeight w:val="702"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1、《中华人民共和国民办教育促进法》第五十六条　民办学校有下列情形之一的，应当终止：（一）根据学校章程规定要求终止，并经审批机关批准的…… 第五十八条　民办学校终止时，应当依法进行财务清算。民办学校自己要求终止的，由民办学校组织清算…… 2、福建省人民政府关于公布省级行政审批项目清理结果的通知（闽政〔2011〕94号）附件2第2部分下放项目第8项“民办职业培训机构审批”市、县（区）人力资源和社会保障部门（分级管理）。 3.《福建省人力资源和社会保障厅关于印发&lt;福建省人力资源社会保障系统行政审批和服务事项参考目录实施规程和审查细则（试行）&gt;的通知》（闽人社办〔2017〕33号） 4.《福建省人力资源和社会保障厅关于做好闽政文〔2018〕55号下放（委托）的行政许可事项承接工作的通知》（闽人社文〔2018〕54号）二、做好相关衔接工作2.此前省厅已批准的事项其年检、延期、变更等后续管理服务工作，也由承接单位办理。</w:t>
            </w:r>
            <w:r>
              <w:rPr>
                <w:rFonts w:hint="eastAsia" w:ascii="宋体" w:hAnsi="宋体" w:cs="宋体"/>
                <w:sz w:val="18"/>
                <w:szCs w:val="18"/>
              </w:rPr>
              <w:tab/>
            </w:r>
          </w:p>
        </w:tc>
      </w:tr>
      <w:tr>
        <w:tblPrEx>
          <w:tblCellMar>
            <w:top w:w="0" w:type="dxa"/>
            <w:left w:w="108" w:type="dxa"/>
            <w:bottom w:w="0" w:type="dxa"/>
            <w:right w:w="108" w:type="dxa"/>
          </w:tblCellMar>
        </w:tblPrEx>
        <w:trPr>
          <w:trHeight w:val="110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widowControl/>
              <w:tabs>
                <w:tab w:val="left" w:pos="425"/>
                <w:tab w:val="left" w:pos="840"/>
              </w:tabs>
              <w:spacing w:line="260" w:lineRule="exact"/>
              <w:rPr>
                <w:rFonts w:ascii="Helvetica" w:hAnsi="Helvetica" w:cs="Arial"/>
                <w:color w:val="444444"/>
                <w:kern w:val="0"/>
                <w:sz w:val="18"/>
                <w:szCs w:val="18"/>
              </w:rPr>
            </w:pPr>
            <w:r>
              <w:rPr>
                <w:rFonts w:hint="eastAsia" w:ascii="Helvetica" w:hAnsi="Helvetica" w:cs="Arial"/>
                <w:color w:val="444444"/>
                <w:kern w:val="0"/>
                <w:sz w:val="18"/>
                <w:szCs w:val="18"/>
              </w:rPr>
              <w:t>1.收件初审：申请人到受理窗口提交材料后，由窗口人员当场审查申请材料，材料不齐全的或不符合条件的，当场一次性告知，出具《缺件告知单》或《补正通知单》；材料齐全的，出具《受理承诺单》；条件具备且符合要求的提出办理意见，提交审批人审批；</w:t>
            </w:r>
          </w:p>
          <w:p>
            <w:pPr>
              <w:widowControl/>
              <w:tabs>
                <w:tab w:val="left" w:pos="425"/>
                <w:tab w:val="left" w:pos="840"/>
              </w:tabs>
              <w:spacing w:line="260" w:lineRule="exact"/>
              <w:rPr>
                <w:rFonts w:ascii="Helvetica" w:hAnsi="Helvetica" w:cs="Arial"/>
                <w:color w:val="444444"/>
                <w:kern w:val="0"/>
                <w:sz w:val="18"/>
                <w:szCs w:val="18"/>
              </w:rPr>
            </w:pPr>
            <w:r>
              <w:rPr>
                <w:rFonts w:hint="eastAsia" w:ascii="Helvetica" w:hAnsi="Helvetica" w:cs="Arial"/>
                <w:color w:val="444444"/>
                <w:kern w:val="0"/>
                <w:sz w:val="18"/>
                <w:szCs w:val="18"/>
              </w:rPr>
              <w:t>2.审批办结：审批后，申请人到受理窗口领取文件（批文、证照等）。</w:t>
            </w:r>
          </w:p>
        </w:tc>
      </w:tr>
      <w:tr>
        <w:tblPrEx>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lang w:eastAsia="zh-CN"/>
              </w:rPr>
              <w:t>1、根据学校章程规定要求终止；</w:t>
            </w:r>
          </w:p>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lang w:eastAsia="zh-CN"/>
              </w:rPr>
              <w:t>2、经学校理事会、董事会2／3以上组成人员同意；</w:t>
            </w:r>
          </w:p>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lang w:eastAsia="zh-CN"/>
              </w:rPr>
              <w:t>3、由民办学校组织，依法进行财务清算；债权债务清算完毕，财产清偿顺序符合《民办教育促进法》第五十九条规定。</w:t>
            </w:r>
          </w:p>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lang w:eastAsia="zh-CN"/>
              </w:rPr>
              <w:t>4、应当妥善安置在校学生。</w:t>
            </w:r>
          </w:p>
        </w:tc>
      </w:tr>
      <w:tr>
        <w:tblPrEx>
          <w:tblCellMar>
            <w:top w:w="0" w:type="dxa"/>
            <w:left w:w="108" w:type="dxa"/>
            <w:bottom w:w="0" w:type="dxa"/>
            <w:right w:w="108" w:type="dxa"/>
          </w:tblCellMar>
        </w:tblPrEx>
        <w:trPr>
          <w:trHeight w:val="159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1、终止办学的申请报告；（应含妥善安置在校生的办法；附办学许可证正副本）；</w:t>
            </w:r>
          </w:p>
          <w:p>
            <w:pPr>
              <w:rPr>
                <w:rFonts w:ascii="宋体" w:hAnsi="宋体" w:cs="宋体"/>
                <w:sz w:val="18"/>
                <w:szCs w:val="18"/>
              </w:rPr>
            </w:pPr>
            <w:r>
              <w:rPr>
                <w:rFonts w:hint="eastAsia" w:ascii="宋体" w:hAnsi="宋体" w:cs="宋体"/>
                <w:sz w:val="18"/>
                <w:szCs w:val="18"/>
              </w:rPr>
              <w:t>2、学校组织财务清算报告；</w:t>
            </w:r>
          </w:p>
          <w:p>
            <w:pPr>
              <w:rPr>
                <w:rFonts w:ascii="宋体" w:hAnsi="宋体" w:cs="宋体"/>
                <w:sz w:val="18"/>
                <w:szCs w:val="18"/>
              </w:rPr>
            </w:pPr>
            <w:r>
              <w:rPr>
                <w:rFonts w:hint="eastAsia" w:ascii="宋体" w:hAnsi="宋体" w:cs="宋体"/>
                <w:sz w:val="18"/>
                <w:szCs w:val="18"/>
              </w:rPr>
              <w:t>3、学校董（理）事会终止办学的决议；</w:t>
            </w:r>
          </w:p>
          <w:p>
            <w:pPr>
              <w:rPr>
                <w:rFonts w:ascii="宋体" w:hAnsi="宋体" w:cs="宋体"/>
                <w:sz w:val="18"/>
                <w:szCs w:val="18"/>
              </w:rPr>
            </w:pPr>
            <w:r>
              <w:rPr>
                <w:rFonts w:hint="eastAsia" w:ascii="宋体" w:hAnsi="宋体" w:cs="宋体"/>
                <w:sz w:val="18"/>
                <w:szCs w:val="18"/>
              </w:rPr>
              <w:t>4、申请单位法定代表人来申请的，应提交其身份证（原件及复印件）；委托他人申请的，应提交授权委托书原件及代理人身份证（原件及复印件）。</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收费依据</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20个工作日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6个工作日</w:t>
            </w:r>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终止办学通知书</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福州市台江区儿童公园路101号二层社会事务类26-29窗口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w:t>
            </w:r>
            <w:r>
              <w:rPr>
                <w:rFonts w:hint="eastAsia" w:ascii="宋体" w:hAnsi="宋体" w:cs="宋体"/>
                <w:kern w:val="0"/>
                <w:sz w:val="18"/>
                <w:szCs w:val="18"/>
                <w:lang w:val="en-US" w:eastAsia="zh-CN"/>
              </w:rPr>
              <w:t>3</w:t>
            </w:r>
            <w:r>
              <w:rPr>
                <w:rFonts w:hint="eastAsia" w:ascii="宋体" w:hAnsi="宋体" w:cs="宋体"/>
                <w:kern w:val="0"/>
                <w:sz w:val="18"/>
                <w:szCs w:val="18"/>
              </w:rPr>
              <w:t>0-5:</w:t>
            </w:r>
            <w:r>
              <w:rPr>
                <w:rFonts w:hint="eastAsia" w:ascii="宋体" w:hAnsi="宋体" w:cs="宋体"/>
                <w:kern w:val="0"/>
                <w:sz w:val="18"/>
                <w:szCs w:val="18"/>
                <w:lang w:val="en-US" w:eastAsia="zh-CN"/>
              </w:rPr>
              <w:t>3</w:t>
            </w:r>
            <w:r>
              <w:rPr>
                <w:rFonts w:hint="eastAsia" w:ascii="宋体" w:hAnsi="宋体" w:cs="宋体"/>
                <w:kern w:val="0"/>
                <w:sz w:val="18"/>
                <w:szCs w:val="18"/>
              </w:rPr>
              <w:t xml:space="preserve">0 </w:t>
            </w:r>
            <w:bookmarkStart w:id="0" w:name="_GoBack"/>
            <w:bookmarkEnd w:id="0"/>
            <w:r>
              <w:rPr>
                <w:rFonts w:hint="eastAsia" w:ascii="宋体" w:hAnsi="宋体" w:cs="宋体"/>
                <w:kern w:val="0"/>
                <w:sz w:val="18"/>
                <w:szCs w:val="18"/>
              </w:rPr>
              <w:t xml:space="preserve">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注意事项</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□设立变更  □纳税  □年检年审  □质量检查  □安全防护  □商务活动  </w:t>
            </w:r>
          </w:p>
          <w:p>
            <w:pPr>
              <w:widowControl/>
              <w:spacing w:line="260" w:lineRule="exact"/>
              <w:rPr>
                <w:rFonts w:ascii="宋体" w:hAnsi="宋体" w:cs="宋体"/>
                <w:kern w:val="0"/>
                <w:sz w:val="18"/>
                <w:szCs w:val="18"/>
              </w:rPr>
            </w:pPr>
            <w:r>
              <w:rPr>
                <w:rFonts w:hint="eastAsia" w:ascii="宋体" w:hAnsi="宋体" w:cs="宋体"/>
                <w:kern w:val="0"/>
                <w:sz w:val="18"/>
                <w:szCs w:val="18"/>
              </w:rPr>
              <w:t>□劳动保障  □人力资源 □资质认证  □建设管理  √破产注销  □综合其他</w:t>
            </w:r>
          </w:p>
        </w:tc>
      </w:tr>
    </w:tbl>
    <w:p>
      <w:pPr>
        <w:jc w:val="center"/>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76DF9"/>
    <w:rsid w:val="17920EC3"/>
    <w:rsid w:val="279844BC"/>
    <w:rsid w:val="4BCA4D46"/>
    <w:rsid w:val="766C5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444444"/>
      <w:u w:val="none"/>
    </w:rPr>
  </w:style>
  <w:style w:type="character" w:styleId="5">
    <w:name w:val="Hyperlink"/>
    <w:basedOn w:val="3"/>
    <w:qFormat/>
    <w:uiPriority w:val="0"/>
    <w:rPr>
      <w:color w:val="444444"/>
      <w:u w:val="none"/>
    </w:rPr>
  </w:style>
  <w:style w:type="character" w:customStyle="1" w:styleId="6">
    <w:name w:val="disabled"/>
    <w:basedOn w:val="3"/>
    <w:qFormat/>
    <w:uiPriority w:val="0"/>
    <w:rPr>
      <w:color w:val="929292"/>
      <w:bdr w:val="single" w:color="929292" w:sz="6" w:space="0"/>
    </w:rPr>
  </w:style>
  <w:style w:type="character" w:customStyle="1" w:styleId="7">
    <w:name w:val="current"/>
    <w:basedOn w:val="3"/>
    <w:qFormat/>
    <w:uiPriority w:val="0"/>
    <w:rPr>
      <w:b/>
      <w:color w:val="FFFFFF"/>
      <w:bdr w:val="single" w:color="000080" w:sz="6" w:space="0"/>
      <w:shd w:val="clear" w:fill="2E6AB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dcterms:modified xsi:type="dcterms:W3CDTF">2020-01-21T09:07:22Z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