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A9" w:rsidRPr="005926A9" w:rsidRDefault="005926A9" w:rsidP="005926A9">
      <w:pPr>
        <w:ind w:firstLineChars="100" w:firstLine="240"/>
        <w:jc w:val="left"/>
        <w:rPr>
          <w:rFonts w:ascii="宋体" w:eastAsia="宋体" w:hAnsi="宋体" w:cs="宋体"/>
          <w:kern w:val="0"/>
          <w:sz w:val="24"/>
          <w:szCs w:val="28"/>
        </w:rPr>
      </w:pPr>
      <w:r w:rsidRPr="005926A9">
        <w:rPr>
          <w:rFonts w:ascii="宋体" w:eastAsia="宋体" w:hAnsi="宋体" w:cs="宋体" w:hint="eastAsia"/>
          <w:kern w:val="0"/>
          <w:sz w:val="24"/>
          <w:szCs w:val="28"/>
        </w:rPr>
        <w:t>附件</w:t>
      </w:r>
    </w:p>
    <w:p w:rsidR="00581050" w:rsidRDefault="00DF7DA6" w:rsidP="00E96CBB">
      <w:pPr>
        <w:ind w:firstLineChars="100" w:firstLine="321"/>
        <w:jc w:val="center"/>
        <w:rPr>
          <w:rFonts w:ascii="Times New Roman" w:hAnsi="Times New Roman" w:cs="Times New Roman"/>
          <w:b/>
          <w:sz w:val="32"/>
          <w:szCs w:val="32"/>
        </w:rPr>
      </w:pPr>
      <w:r w:rsidRPr="001E34BA">
        <w:rPr>
          <w:rFonts w:ascii="Times New Roman" w:hAnsi="Times New Roman" w:cs="Times New Roman"/>
          <w:b/>
          <w:sz w:val="32"/>
          <w:szCs w:val="32"/>
        </w:rPr>
        <w:t>空气自动站非甲烷总烃和苯系物</w:t>
      </w:r>
      <w:r w:rsidR="00E96CBB">
        <w:rPr>
          <w:rFonts w:ascii="Times New Roman" w:hAnsi="Times New Roman" w:cs="Times New Roman" w:hint="eastAsia"/>
          <w:b/>
          <w:sz w:val="32"/>
          <w:szCs w:val="32"/>
        </w:rPr>
        <w:t>在线监测</w:t>
      </w:r>
      <w:r w:rsidRPr="001E34BA">
        <w:rPr>
          <w:rFonts w:ascii="Times New Roman" w:hAnsi="Times New Roman" w:cs="Times New Roman"/>
          <w:b/>
          <w:sz w:val="32"/>
          <w:szCs w:val="32"/>
        </w:rPr>
        <w:t>设备</w:t>
      </w:r>
      <w:r w:rsidRPr="001E34BA">
        <w:rPr>
          <w:rFonts w:ascii="Times New Roman" w:hAnsi="Times New Roman" w:cs="Times New Roman" w:hint="eastAsia"/>
          <w:b/>
          <w:sz w:val="32"/>
          <w:szCs w:val="32"/>
        </w:rPr>
        <w:t>运营维护</w:t>
      </w:r>
      <w:r>
        <w:rPr>
          <w:rFonts w:ascii="Times New Roman" w:hAnsi="Times New Roman" w:cs="Times New Roman" w:hint="eastAsia"/>
          <w:b/>
          <w:sz w:val="32"/>
          <w:szCs w:val="32"/>
        </w:rPr>
        <w:t>具体要求</w:t>
      </w:r>
    </w:p>
    <w:p w:rsidR="00B479CD" w:rsidRPr="00B479CD" w:rsidRDefault="00B479CD" w:rsidP="00B479CD">
      <w:pPr>
        <w:pStyle w:val="a5"/>
        <w:spacing w:before="61" w:line="400" w:lineRule="exact"/>
        <w:ind w:right="96"/>
        <w:rPr>
          <w:rFonts w:cs="宋体"/>
          <w:b/>
          <w:sz w:val="24"/>
          <w:lang w:eastAsia="zh-CN"/>
        </w:rPr>
      </w:pPr>
      <w:r w:rsidRPr="00B479CD">
        <w:rPr>
          <w:rFonts w:cs="宋体" w:hint="eastAsia"/>
          <w:b/>
          <w:sz w:val="24"/>
          <w:lang w:eastAsia="zh-CN"/>
        </w:rPr>
        <w:t>一、项目概况</w:t>
      </w:r>
      <w:bookmarkStart w:id="0" w:name="_GoBack"/>
      <w:bookmarkEnd w:id="0"/>
    </w:p>
    <w:p w:rsidR="00ED315C" w:rsidRDefault="00ED315C" w:rsidP="00B479CD">
      <w:pPr>
        <w:pStyle w:val="a5"/>
        <w:spacing w:before="61" w:line="400" w:lineRule="exact"/>
        <w:ind w:right="96"/>
        <w:rPr>
          <w:rFonts w:cs="宋体"/>
          <w:sz w:val="24"/>
          <w:shd w:val="clear" w:color="auto" w:fill="FBFDFE"/>
          <w:lang w:eastAsia="zh-CN"/>
        </w:rPr>
      </w:pPr>
      <w:r>
        <w:rPr>
          <w:rFonts w:cs="宋体" w:hint="eastAsia"/>
          <w:sz w:val="24"/>
          <w:lang w:eastAsia="zh-CN"/>
        </w:rPr>
        <w:t>本项目含3年运行维护，对甲烷非甲烷总烃和苯系物在线监测设备</w:t>
      </w:r>
      <w:r>
        <w:rPr>
          <w:rFonts w:cs="宋体" w:hint="eastAsia"/>
          <w:sz w:val="24"/>
          <w:shd w:val="clear" w:color="auto" w:fill="FBFDFE"/>
          <w:lang w:eastAsia="zh-CN"/>
        </w:rPr>
        <w:t>、气象仪器、质控设备、数据采集与传输设备、辅助设备等基础设施的日常维护、质量控制、故障维修、定期检修、检定等工作，并须接受上级环境监测站质控检查和考核，确保各项监测仪器正常稳定运行。</w:t>
      </w:r>
    </w:p>
    <w:p w:rsidR="00B479CD" w:rsidRDefault="00B479CD" w:rsidP="00B479CD">
      <w:pPr>
        <w:widowControl/>
        <w:adjustRightInd w:val="0"/>
        <w:snapToGrid w:val="0"/>
        <w:spacing w:line="276" w:lineRule="auto"/>
        <w:ind w:firstLine="120"/>
        <w:jc w:val="center"/>
        <w:rPr>
          <w:rFonts w:ascii="宋体" w:eastAsia="宋体" w:hAnsi="宋体" w:cs="宋体"/>
          <w:kern w:val="0"/>
          <w:sz w:val="24"/>
          <w:szCs w:val="24"/>
        </w:rPr>
      </w:pPr>
      <w:r>
        <w:rPr>
          <w:rFonts w:ascii="宋体" w:eastAsia="宋体" w:hAnsi="宋体" w:cs="宋体" w:hint="eastAsia"/>
          <w:kern w:val="0"/>
          <w:sz w:val="24"/>
          <w:szCs w:val="24"/>
        </w:rPr>
        <w:t>表1 站点仪器配置表</w:t>
      </w:r>
    </w:p>
    <w:tbl>
      <w:tblPr>
        <w:tblW w:w="79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91"/>
        <w:gridCol w:w="1856"/>
        <w:gridCol w:w="4393"/>
      </w:tblGrid>
      <w:tr w:rsidR="00B479CD" w:rsidTr="00DE7955">
        <w:trPr>
          <w:tblCellSpacing w:w="15" w:type="dxa"/>
          <w:jc w:val="center"/>
        </w:trPr>
        <w:tc>
          <w:tcPr>
            <w:tcW w:w="16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79CD" w:rsidRDefault="00B479CD"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站点</w:t>
            </w:r>
          </w:p>
        </w:tc>
        <w:tc>
          <w:tcPr>
            <w:tcW w:w="182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479CD" w:rsidRDefault="00B479CD"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仪器品 牌</w:t>
            </w:r>
          </w:p>
        </w:tc>
        <w:tc>
          <w:tcPr>
            <w:tcW w:w="43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479CD" w:rsidRDefault="00B479CD"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仪器型号</w:t>
            </w:r>
          </w:p>
        </w:tc>
      </w:tr>
      <w:tr w:rsidR="00B479CD" w:rsidTr="00DE7955">
        <w:trPr>
          <w:trHeight w:hRule="exact" w:val="340"/>
          <w:tblCellSpacing w:w="15" w:type="dxa"/>
          <w:jc w:val="center"/>
        </w:trPr>
        <w:tc>
          <w:tcPr>
            <w:tcW w:w="164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479CD" w:rsidRDefault="00B479CD"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台江环保局站</w:t>
            </w:r>
          </w:p>
        </w:tc>
        <w:tc>
          <w:tcPr>
            <w:tcW w:w="182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B479CD" w:rsidRDefault="0057281F"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杭州谱育科技</w:t>
            </w: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B479CD" w:rsidRDefault="0057281F"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EXPEC2000-115P</w:t>
            </w:r>
          </w:p>
        </w:tc>
      </w:tr>
      <w:tr w:rsidR="00B479CD" w:rsidTr="00DE7955">
        <w:trPr>
          <w:trHeight w:hRule="exact" w:val="340"/>
          <w:tblCellSpacing w:w="15" w:type="dxa"/>
          <w:jc w:val="center"/>
        </w:trPr>
        <w:tc>
          <w:tcPr>
            <w:tcW w:w="1646" w:type="dxa"/>
            <w:vMerge/>
            <w:tcBorders>
              <w:top w:val="nil"/>
              <w:left w:val="single" w:sz="6" w:space="0" w:color="auto"/>
              <w:bottom w:val="single" w:sz="6" w:space="0" w:color="auto"/>
              <w:right w:val="single" w:sz="6" w:space="0" w:color="auto"/>
            </w:tcBorders>
            <w:vAlign w:val="center"/>
          </w:tcPr>
          <w:p w:rsidR="00B479CD" w:rsidRDefault="00B479CD" w:rsidP="00DE7955">
            <w:pPr>
              <w:widowControl/>
              <w:adjustRightInd w:val="0"/>
              <w:snapToGrid w:val="0"/>
              <w:jc w:val="center"/>
              <w:rPr>
                <w:rFonts w:ascii="宋体" w:eastAsia="宋体" w:hAnsi="宋体" w:cs="宋体"/>
                <w:kern w:val="0"/>
                <w:sz w:val="24"/>
                <w:szCs w:val="24"/>
              </w:rPr>
            </w:pPr>
          </w:p>
        </w:tc>
        <w:tc>
          <w:tcPr>
            <w:tcW w:w="1826" w:type="dxa"/>
            <w:vMerge/>
            <w:tcBorders>
              <w:top w:val="nil"/>
              <w:left w:val="nil"/>
              <w:bottom w:val="single" w:sz="6" w:space="0" w:color="auto"/>
              <w:right w:val="single" w:sz="6" w:space="0" w:color="auto"/>
            </w:tcBorders>
            <w:vAlign w:val="center"/>
          </w:tcPr>
          <w:p w:rsidR="00B479CD" w:rsidRDefault="00B479CD" w:rsidP="00DE7955">
            <w:pPr>
              <w:widowControl/>
              <w:adjustRightInd w:val="0"/>
              <w:snapToGrid w:val="0"/>
              <w:jc w:val="center"/>
              <w:rPr>
                <w:rFonts w:ascii="宋体" w:eastAsia="宋体" w:hAnsi="宋体" w:cs="宋体"/>
                <w:kern w:val="0"/>
                <w:sz w:val="24"/>
                <w:szCs w:val="24"/>
              </w:rPr>
            </w:pP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B479CD" w:rsidRDefault="0057281F"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EXPEC2000-210F</w:t>
            </w:r>
          </w:p>
        </w:tc>
      </w:tr>
      <w:tr w:rsidR="00DE7955" w:rsidTr="00DE7955">
        <w:trPr>
          <w:trHeight w:hRule="exact" w:val="340"/>
          <w:tblCellSpacing w:w="15" w:type="dxa"/>
          <w:jc w:val="center"/>
        </w:trPr>
        <w:tc>
          <w:tcPr>
            <w:tcW w:w="164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hAnsi="宋体" w:cs="宋体" w:hint="eastAsia"/>
                <w:kern w:val="0"/>
                <w:sz w:val="24"/>
                <w:szCs w:val="24"/>
              </w:rPr>
              <w:t>宁化</w:t>
            </w:r>
            <w:r>
              <w:rPr>
                <w:rFonts w:ascii="宋体" w:eastAsia="宋体" w:hAnsi="宋体" w:cs="宋体" w:hint="eastAsia"/>
                <w:kern w:val="0"/>
                <w:sz w:val="24"/>
                <w:szCs w:val="24"/>
              </w:rPr>
              <w:t>站</w:t>
            </w:r>
          </w:p>
        </w:tc>
        <w:tc>
          <w:tcPr>
            <w:tcW w:w="182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杭州谱育科技</w:t>
            </w: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EXPEC2000-115P</w:t>
            </w:r>
          </w:p>
        </w:tc>
      </w:tr>
      <w:tr w:rsidR="00DE7955" w:rsidTr="00DE7955">
        <w:trPr>
          <w:trHeight w:hRule="exact" w:val="340"/>
          <w:tblCellSpacing w:w="15" w:type="dxa"/>
          <w:jc w:val="center"/>
        </w:trPr>
        <w:tc>
          <w:tcPr>
            <w:tcW w:w="1646" w:type="dxa"/>
            <w:vMerge/>
            <w:tcBorders>
              <w:top w:val="nil"/>
              <w:left w:val="single" w:sz="6" w:space="0" w:color="auto"/>
              <w:bottom w:val="single" w:sz="6" w:space="0" w:color="auto"/>
              <w:right w:val="single" w:sz="6" w:space="0" w:color="auto"/>
            </w:tcBorders>
            <w:vAlign w:val="center"/>
          </w:tcPr>
          <w:p w:rsidR="00DE7955" w:rsidRDefault="00DE7955" w:rsidP="00DE7955">
            <w:pPr>
              <w:widowControl/>
              <w:adjustRightInd w:val="0"/>
              <w:snapToGrid w:val="0"/>
              <w:jc w:val="center"/>
              <w:rPr>
                <w:rFonts w:ascii="宋体" w:eastAsia="宋体" w:hAnsi="宋体" w:cs="宋体"/>
                <w:kern w:val="0"/>
                <w:sz w:val="24"/>
                <w:szCs w:val="24"/>
              </w:rPr>
            </w:pPr>
          </w:p>
        </w:tc>
        <w:tc>
          <w:tcPr>
            <w:tcW w:w="1826" w:type="dxa"/>
            <w:vMerge/>
            <w:tcBorders>
              <w:top w:val="nil"/>
              <w:left w:val="nil"/>
              <w:bottom w:val="single" w:sz="6" w:space="0" w:color="auto"/>
              <w:right w:val="single" w:sz="6" w:space="0" w:color="auto"/>
            </w:tcBorders>
            <w:vAlign w:val="center"/>
          </w:tcPr>
          <w:p w:rsidR="00DE7955" w:rsidRDefault="00DE7955" w:rsidP="00DE7955">
            <w:pPr>
              <w:widowControl/>
              <w:adjustRightInd w:val="0"/>
              <w:snapToGrid w:val="0"/>
              <w:jc w:val="center"/>
              <w:rPr>
                <w:rFonts w:ascii="宋体" w:eastAsia="宋体" w:hAnsi="宋体" w:cs="宋体"/>
                <w:kern w:val="0"/>
                <w:sz w:val="24"/>
                <w:szCs w:val="24"/>
              </w:rPr>
            </w:pP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EXPEC2000-210F</w:t>
            </w:r>
          </w:p>
        </w:tc>
      </w:tr>
      <w:tr w:rsidR="00DE7955" w:rsidTr="00DE7955">
        <w:trPr>
          <w:trHeight w:hRule="exact" w:val="340"/>
          <w:tblCellSpacing w:w="15" w:type="dxa"/>
          <w:jc w:val="center"/>
        </w:trPr>
        <w:tc>
          <w:tcPr>
            <w:tcW w:w="164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鳌峰站</w:t>
            </w:r>
          </w:p>
        </w:tc>
        <w:tc>
          <w:tcPr>
            <w:tcW w:w="182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杭州谱育科技</w:t>
            </w: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EXPEC2000-115P</w:t>
            </w:r>
          </w:p>
        </w:tc>
      </w:tr>
      <w:tr w:rsidR="00DE7955" w:rsidTr="00DE7955">
        <w:trPr>
          <w:trHeight w:hRule="exact" w:val="340"/>
          <w:tblCellSpacing w:w="15" w:type="dxa"/>
          <w:jc w:val="center"/>
        </w:trPr>
        <w:tc>
          <w:tcPr>
            <w:tcW w:w="1646" w:type="dxa"/>
            <w:vMerge/>
            <w:tcBorders>
              <w:top w:val="nil"/>
              <w:left w:val="single" w:sz="6" w:space="0" w:color="auto"/>
              <w:bottom w:val="single" w:sz="6" w:space="0" w:color="auto"/>
              <w:right w:val="single" w:sz="6" w:space="0" w:color="auto"/>
            </w:tcBorders>
            <w:vAlign w:val="center"/>
          </w:tcPr>
          <w:p w:rsidR="00DE7955" w:rsidRDefault="00DE7955" w:rsidP="00DE7955">
            <w:pPr>
              <w:widowControl/>
              <w:adjustRightInd w:val="0"/>
              <w:snapToGrid w:val="0"/>
              <w:jc w:val="center"/>
              <w:rPr>
                <w:rFonts w:ascii="宋体" w:eastAsia="宋体" w:hAnsi="宋体" w:cs="宋体"/>
                <w:kern w:val="0"/>
                <w:sz w:val="24"/>
                <w:szCs w:val="24"/>
              </w:rPr>
            </w:pPr>
          </w:p>
        </w:tc>
        <w:tc>
          <w:tcPr>
            <w:tcW w:w="1826" w:type="dxa"/>
            <w:vMerge/>
            <w:tcBorders>
              <w:top w:val="nil"/>
              <w:left w:val="nil"/>
              <w:bottom w:val="single" w:sz="6" w:space="0" w:color="auto"/>
              <w:right w:val="single" w:sz="6" w:space="0" w:color="auto"/>
            </w:tcBorders>
            <w:vAlign w:val="center"/>
          </w:tcPr>
          <w:p w:rsidR="00DE7955" w:rsidRDefault="00DE7955" w:rsidP="00DE7955">
            <w:pPr>
              <w:widowControl/>
              <w:adjustRightInd w:val="0"/>
              <w:snapToGrid w:val="0"/>
              <w:jc w:val="center"/>
              <w:rPr>
                <w:rFonts w:ascii="宋体" w:eastAsia="宋体" w:hAnsi="宋体" w:cs="宋体"/>
                <w:kern w:val="0"/>
                <w:sz w:val="24"/>
                <w:szCs w:val="24"/>
              </w:rPr>
            </w:pP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EXPEC2000-210F</w:t>
            </w:r>
          </w:p>
        </w:tc>
      </w:tr>
      <w:tr w:rsidR="00DE7955" w:rsidTr="00DE7955">
        <w:trPr>
          <w:trHeight w:hRule="exact" w:val="340"/>
          <w:tblCellSpacing w:w="15" w:type="dxa"/>
          <w:jc w:val="center"/>
        </w:trPr>
        <w:tc>
          <w:tcPr>
            <w:tcW w:w="1646"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新港站</w:t>
            </w:r>
          </w:p>
        </w:tc>
        <w:tc>
          <w:tcPr>
            <w:tcW w:w="1826" w:type="dxa"/>
            <w:vMerge w:val="restart"/>
            <w:tcBorders>
              <w:top w:val="nil"/>
              <w:left w:val="nil"/>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杭州谱育科技</w:t>
            </w: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EXPEC2000-115P</w:t>
            </w:r>
          </w:p>
        </w:tc>
      </w:tr>
      <w:tr w:rsidR="00DE7955" w:rsidTr="00DE7955">
        <w:trPr>
          <w:trHeight w:hRule="exact" w:val="340"/>
          <w:tblCellSpacing w:w="15" w:type="dxa"/>
          <w:jc w:val="center"/>
        </w:trPr>
        <w:tc>
          <w:tcPr>
            <w:tcW w:w="1646" w:type="dxa"/>
            <w:vMerge/>
            <w:tcBorders>
              <w:left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Calibri" w:eastAsia="宋体" w:hAnsi="Calibri" w:cs="Times New Roman"/>
              </w:rPr>
            </w:pPr>
          </w:p>
        </w:tc>
        <w:tc>
          <w:tcPr>
            <w:tcW w:w="1826" w:type="dxa"/>
            <w:vMerge/>
            <w:tcBorders>
              <w:left w:val="nil"/>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jc w:val="center"/>
              <w:rPr>
                <w:rFonts w:ascii="Calibri" w:eastAsia="宋体" w:hAnsi="Calibri" w:cs="Times New Roman"/>
              </w:rPr>
            </w:pPr>
          </w:p>
        </w:tc>
        <w:tc>
          <w:tcPr>
            <w:tcW w:w="4348" w:type="dxa"/>
            <w:tcBorders>
              <w:top w:val="nil"/>
              <w:left w:val="nil"/>
              <w:bottom w:val="single" w:sz="6" w:space="0" w:color="auto"/>
              <w:right w:val="single" w:sz="6" w:space="0" w:color="auto"/>
            </w:tcBorders>
            <w:tcMar>
              <w:top w:w="0" w:type="dxa"/>
              <w:left w:w="105" w:type="dxa"/>
              <w:bottom w:w="0" w:type="dxa"/>
              <w:right w:w="105" w:type="dxa"/>
            </w:tcMar>
            <w:vAlign w:val="center"/>
          </w:tcPr>
          <w:p w:rsidR="00DE7955" w:rsidRDefault="00DE7955" w:rsidP="00DE7955">
            <w:pPr>
              <w:widowControl/>
              <w:adjustRightInd w:val="0"/>
              <w:snapToGrid w:val="0"/>
              <w:spacing w:line="276" w:lineRule="auto"/>
              <w:jc w:val="center"/>
              <w:rPr>
                <w:rFonts w:ascii="宋体" w:eastAsia="宋体" w:hAnsi="宋体" w:cs="宋体"/>
                <w:kern w:val="0"/>
                <w:sz w:val="24"/>
                <w:szCs w:val="24"/>
              </w:rPr>
            </w:pPr>
            <w:r>
              <w:rPr>
                <w:rFonts w:ascii="宋体" w:eastAsia="宋体" w:hAnsi="宋体" w:cs="宋体" w:hint="eastAsia"/>
                <w:kern w:val="0"/>
                <w:sz w:val="24"/>
                <w:szCs w:val="24"/>
              </w:rPr>
              <w:t>EXPEC2000-210F</w:t>
            </w:r>
          </w:p>
        </w:tc>
      </w:tr>
    </w:tbl>
    <w:p w:rsidR="00DF7DA6" w:rsidRPr="00BD5785" w:rsidRDefault="00DE7955" w:rsidP="00DF7DA6">
      <w:pPr>
        <w:pStyle w:val="a5"/>
        <w:spacing w:before="61" w:line="400" w:lineRule="exact"/>
        <w:ind w:left="119" w:right="96" w:firstLine="561"/>
        <w:rPr>
          <w:rFonts w:asciiTheme="minorEastAsia" w:eastAsiaTheme="minorEastAsia" w:hAnsiTheme="minorEastAsia" w:cs="Times New Roman"/>
          <w:b/>
          <w:sz w:val="24"/>
          <w:szCs w:val="24"/>
          <w:lang w:eastAsia="zh-CN"/>
        </w:rPr>
      </w:pPr>
      <w:r>
        <w:rPr>
          <w:rFonts w:asciiTheme="minorEastAsia" w:eastAsiaTheme="minorEastAsia" w:hAnsiTheme="minorEastAsia" w:cs="Times New Roman" w:hint="eastAsia"/>
          <w:b/>
          <w:sz w:val="24"/>
          <w:szCs w:val="24"/>
          <w:lang w:eastAsia="zh-CN"/>
        </w:rPr>
        <w:t>二</w:t>
      </w:r>
      <w:r w:rsidR="00DF7DA6" w:rsidRPr="00BD5785">
        <w:rPr>
          <w:rFonts w:asciiTheme="minorEastAsia" w:eastAsiaTheme="minorEastAsia" w:hAnsiTheme="minorEastAsia" w:cs="Times New Roman"/>
          <w:b/>
          <w:sz w:val="24"/>
          <w:szCs w:val="24"/>
          <w:lang w:eastAsia="zh-CN"/>
        </w:rPr>
        <w:t>、系统日常运维</w:t>
      </w:r>
      <w:r w:rsidR="00DF7DA6" w:rsidRPr="00BD5785">
        <w:rPr>
          <w:rFonts w:asciiTheme="minorEastAsia" w:eastAsiaTheme="minorEastAsia" w:hAnsiTheme="minorEastAsia" w:cs="Times New Roman" w:hint="eastAsia"/>
          <w:b/>
          <w:sz w:val="24"/>
          <w:szCs w:val="24"/>
          <w:lang w:eastAsia="zh-CN"/>
        </w:rPr>
        <w:t>与质控</w:t>
      </w:r>
      <w:r w:rsidR="00DF7DA6" w:rsidRPr="00BD5785">
        <w:rPr>
          <w:rFonts w:asciiTheme="minorEastAsia" w:eastAsiaTheme="minorEastAsia" w:hAnsiTheme="minorEastAsia" w:cs="Times New Roman"/>
          <w:b/>
          <w:sz w:val="24"/>
          <w:szCs w:val="24"/>
          <w:lang w:eastAsia="zh-CN"/>
        </w:rPr>
        <w:t>要求</w:t>
      </w:r>
    </w:p>
    <w:p w:rsidR="00DF7DA6" w:rsidRDefault="00DF7DA6" w:rsidP="00DF7DA6">
      <w:pPr>
        <w:pStyle w:val="a5"/>
        <w:spacing w:before="61" w:line="400" w:lineRule="exact"/>
        <w:ind w:left="119" w:right="96" w:firstLine="561"/>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1</w:t>
      </w:r>
      <w:r w:rsidRPr="00BD5785">
        <w:rPr>
          <w:rFonts w:asciiTheme="minorEastAsia" w:eastAsiaTheme="minorEastAsia" w:hAnsiTheme="minorEastAsia" w:cs="Times New Roman"/>
          <w:b/>
          <w:sz w:val="24"/>
          <w:szCs w:val="24"/>
          <w:lang w:eastAsia="zh-CN"/>
        </w:rPr>
        <w:t>.1 每日维护内容</w:t>
      </w:r>
    </w:p>
    <w:p w:rsidR="00ED315C" w:rsidRPr="00ED315C" w:rsidRDefault="00ED315C" w:rsidP="00ED315C">
      <w:pPr>
        <w:pStyle w:val="a6"/>
        <w:widowControl/>
        <w:spacing w:before="0" w:beforeAutospacing="0" w:after="150" w:afterAutospacing="0" w:line="435" w:lineRule="atLeast"/>
        <w:ind w:firstLineChars="250" w:firstLine="600"/>
        <w:rPr>
          <w:rFonts w:asciiTheme="minorEastAsia" w:eastAsiaTheme="minorEastAsia" w:hAnsiTheme="minorEastAsia"/>
          <w:b/>
        </w:rPr>
      </w:pPr>
      <w:r>
        <w:rPr>
          <w:rFonts w:ascii="宋体" w:hAnsi="宋体" w:cs="宋体" w:hint="eastAsia"/>
        </w:rPr>
        <w:t>日常巡查和维护要求：每天至少2次（上午下午至少各一次）检查各子站数据，并以短信或微信方式向采购人汇报检查情况。</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.1.1 系统状态检查</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检查系统是否有报警等异常提示，以及富集/解析模块、分析模块的温度、气压、时间、流量、电压等重要参数是否正常。系统状态检查可通过远程或者现场检查的方式完成。</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.1.2 基线检查</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按照厂家说明书或作业指导书要求检查图谱基线是否存在异常漂移和波动，特别是水分对基线的影响。如存在异常漂移和波动，应及时标识或剔除异常数据或对受影响的化合物进行重积分。</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.1.3 保留时间漂移</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根据保留时间前、中、后各段经常检出且浓度较高的特征VOCs组分检查</w:t>
      </w:r>
      <w:r w:rsidRPr="00BD5785">
        <w:rPr>
          <w:rFonts w:asciiTheme="minorEastAsia" w:eastAsiaTheme="minorEastAsia" w:hAnsiTheme="minorEastAsia" w:cs="Times New Roman"/>
          <w:sz w:val="24"/>
          <w:szCs w:val="24"/>
          <w:lang w:eastAsia="zh-CN"/>
        </w:rPr>
        <w:lastRenderedPageBreak/>
        <w:t>保留时间漂移是否超出0.5min，如超出要求应重新设置保留 时间积分窗。重点关注漂移是否影响监测组分的自动积分，如有影响， 应进行重积分。对于采用中心切割法的系统，应审核其中心切割点是 否影响目标化合物的积分。</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.1.</w:t>
      </w:r>
      <w:r w:rsidRPr="00BD5785">
        <w:rPr>
          <w:rFonts w:asciiTheme="minorEastAsia" w:eastAsiaTheme="minorEastAsia" w:hAnsiTheme="minorEastAsia" w:cs="Times New Roman" w:hint="eastAsia"/>
          <w:sz w:val="24"/>
          <w:szCs w:val="24"/>
          <w:lang w:eastAsia="zh-CN"/>
        </w:rPr>
        <w:t>4</w:t>
      </w:r>
      <w:r w:rsidRPr="00BD5785">
        <w:rPr>
          <w:rFonts w:asciiTheme="minorEastAsia" w:eastAsiaTheme="minorEastAsia" w:hAnsiTheme="minorEastAsia" w:cs="Times New Roman"/>
          <w:sz w:val="24"/>
          <w:szCs w:val="24"/>
          <w:lang w:eastAsia="zh-CN"/>
        </w:rPr>
        <w:t xml:space="preserve"> 数据标识与重积分</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日审核结束后，应对异常数据进行无效标识或剔除，并对需要进 行重积分的谱图和色谱峰进行重积分。</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.1.</w:t>
      </w:r>
      <w:r w:rsidRPr="00BD5785">
        <w:rPr>
          <w:rFonts w:asciiTheme="minorEastAsia" w:eastAsiaTheme="minorEastAsia" w:hAnsiTheme="minorEastAsia" w:cs="Times New Roman" w:hint="eastAsia"/>
          <w:sz w:val="24"/>
          <w:szCs w:val="24"/>
          <w:lang w:eastAsia="zh-CN"/>
        </w:rPr>
        <w:t>5</w:t>
      </w:r>
      <w:r w:rsidRPr="00BD5785">
        <w:rPr>
          <w:rFonts w:asciiTheme="minorEastAsia" w:eastAsiaTheme="minorEastAsia" w:hAnsiTheme="minorEastAsia" w:cs="Times New Roman"/>
          <w:sz w:val="24"/>
          <w:szCs w:val="24"/>
          <w:lang w:eastAsia="zh-CN"/>
        </w:rPr>
        <w:t xml:space="preserve"> 数据审核</w:t>
      </w:r>
    </w:p>
    <w:p w:rsidR="00DF7DA6" w:rsidRPr="00BD5785" w:rsidRDefault="00DF7DA6" w:rsidP="00DF7DA6">
      <w:pPr>
        <w:pStyle w:val="a5"/>
        <w:spacing w:before="61" w:line="400" w:lineRule="exact"/>
        <w:ind w:left="119" w:right="96" w:firstLine="561"/>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数据审核应在72小时内完成。</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1</w:t>
      </w:r>
      <w:r w:rsidRPr="00BD5785">
        <w:rPr>
          <w:rFonts w:asciiTheme="minorEastAsia" w:eastAsiaTheme="minorEastAsia" w:hAnsiTheme="minorEastAsia" w:cs="Times New Roman"/>
          <w:b/>
          <w:sz w:val="24"/>
          <w:szCs w:val="24"/>
          <w:lang w:eastAsia="zh-CN"/>
        </w:rPr>
        <w:t>.2 每周</w:t>
      </w:r>
      <w:r w:rsidRPr="00BD5785">
        <w:rPr>
          <w:rFonts w:asciiTheme="minorEastAsia" w:eastAsiaTheme="minorEastAsia" w:hAnsiTheme="minorEastAsia" w:cs="Times New Roman" w:hint="eastAsia"/>
          <w:b/>
          <w:sz w:val="24"/>
          <w:szCs w:val="24"/>
          <w:lang w:eastAsia="zh-CN"/>
        </w:rPr>
        <w:t>运维</w:t>
      </w:r>
      <w:r w:rsidRPr="00BD5785">
        <w:rPr>
          <w:rFonts w:asciiTheme="minorEastAsia" w:eastAsiaTheme="minorEastAsia" w:hAnsiTheme="minorEastAsia" w:cs="Times New Roman"/>
          <w:b/>
          <w:sz w:val="24"/>
          <w:szCs w:val="24"/>
          <w:lang w:eastAsia="zh-CN"/>
        </w:rPr>
        <w:t>内容</w:t>
      </w:r>
      <w:r w:rsidRPr="00BD5785">
        <w:rPr>
          <w:rFonts w:asciiTheme="minorEastAsia" w:eastAsiaTheme="minorEastAsia" w:hAnsiTheme="minorEastAsia" w:cs="Times New Roman" w:hint="eastAsia"/>
          <w:b/>
          <w:sz w:val="24"/>
          <w:szCs w:val="24"/>
          <w:lang w:eastAsia="zh-CN"/>
        </w:rPr>
        <w:t>与</w:t>
      </w:r>
      <w:r w:rsidRPr="00BD5785">
        <w:rPr>
          <w:rFonts w:asciiTheme="minorEastAsia" w:eastAsiaTheme="minorEastAsia" w:hAnsiTheme="minorEastAsia" w:cs="Times New Roman"/>
          <w:b/>
          <w:sz w:val="24"/>
          <w:szCs w:val="24"/>
          <w:lang w:eastAsia="zh-CN"/>
        </w:rPr>
        <w:t>系统质量控制要求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.2.1  监测站房及辅助设备周巡检</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监测站房及周边环境应满足HJ 193相关要求。监测站房及辅助设备日常巡检应满足HJ 818相关要求。运维人员应对子站站房及辅助设备定期巡检，每周至少巡检1次，巡检工作主要包括：</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（1）检查站房内温度是否保持在25℃±5℃（要求站房温度波动稳定），相对湿度保持在85%以下。</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（2）在冬、夏季节应注意站房内外温差，应及时调整站房温度； 检查采样总管加热装置和气路保温措施，防止因温差造成采样装置出 现冷凝水的现象。</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（3）检查采样总管进气、排气是否正常。</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（4）检查采样支管是否存在冷凝水，如果存在冷凝水应及时进行清洁干燥处理。</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（5）检查站房排风排气装置工作是否正常。</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（6）检查标气、辅助气钢瓶阀门是否漏气；检查标气和辅助气有效期、压力，气瓶压力低于2Mpa（或系统相关要求值）前应更换。</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（7）如采用气体发生器，应检查气体发生器的工作状态，及时补充纯水、更换干燥硅胶、活性碳或无水氯化钙。</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（8）检查数据采集、传输与网络通讯是否正常。</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（9）检查各种运维工具、系统耗材、备件是否完好齐全。</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（01）检查空调、电源等辅助设备的运行状况是否正常，检查站房空调机的过滤网是否清洁，必要时进行清洗。</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（11）检查各种消防、安全设施是否完好齐全。</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lastRenderedPageBreak/>
        <w:t>（12）对站房周围的杂草和积水应及时清除；对采样有影响的树枝应及时进行剪除。</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（13）检查避雷设施是否正常，子站房屋是否有漏雨现象，气象杆是否损坏。</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（14）记录巡检情况。</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w:t>
      </w:r>
      <w:r w:rsidRPr="00BD5785">
        <w:rPr>
          <w:rFonts w:asciiTheme="minorEastAsia" w:eastAsiaTheme="minorEastAsia" w:hAnsiTheme="minorEastAsia" w:cs="Times New Roman"/>
          <w:sz w:val="24"/>
          <w:szCs w:val="24"/>
          <w:lang w:eastAsia="zh-CN"/>
        </w:rPr>
        <w:t>.2.2 自动监测系统周巡检</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（1）富集/解析模块参数设置检查。检查吸附温度、脱附温度、采样流量、脱附/注射流量、采样与脱附时间设置是否与说明书、作业指导书或目标化合物测试记录一致。</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2）富集/解析模块运行情况检查。检查低温或超低温富集模块是否有异常结冰现象，如有异常，应停机清除结冰。检查吹扫流量或压力是否正常，如有堵塞，应及时检查吸附管或捕集柱。检查吸附和脱附程序是否正常，如有异常温度波动应及时排查避免影响吸附或脱附效率。检查注射程序是否正常，如注射压力、流量或者切换阀工作异常，应及时排查以免响应分析。如检测系统为 FID 检测器，可通过比较低碳和高碳组分的碳响应因子，对富集阱低碳组分捕集性能进行检查。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（3）气相色谱、检测器参数设置检查。检查火焰离子化检测器氢气与空气输入压力与流量、初始炉温、升温程序、降温程序、载气流量与压力、管线温度、EPC 设置、质谱温度、EI 能量等是否与说明书、作业指导书或目标化合物测试记录一致。</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4）气相色谱、检测器运行情况检查。检查载气净化装置（含除烃、除氧、除水装置等），如有异常应及时更换。根据系统验收或目标化合物测试时使用的参数，检查色谱炉温控制程序、载气流量或压力控制程序、火焰离子化检测器或质谱检测器工作温度、质谱真空度等是否正常，如有异常应及时停机检查，排查问题。</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1.2.3质量控制-</w:t>
      </w:r>
      <w:r w:rsidRPr="00BD5785">
        <w:rPr>
          <w:rFonts w:asciiTheme="minorEastAsia" w:eastAsiaTheme="minorEastAsia" w:hAnsiTheme="minorEastAsia" w:cs="Times New Roman"/>
          <w:sz w:val="24"/>
          <w:szCs w:val="24"/>
          <w:lang w:eastAsia="zh-CN"/>
        </w:rPr>
        <w:t>零气空白检查（全系统空白）</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检查频率不低于每周一次，在环境空气分析结束后进行一次全系 统空白检查，记录各化合物浓度作为其日常残留。各化合物日常残留 应低于方法检出限且低于 0.1nmol/mol（操作方法及合格标准参考</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4.3.1），若不合格，应对系统进行检查，检查零气质量或清洗、更换系统管路。</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1.2.4质量控制-</w:t>
      </w:r>
      <w:r w:rsidRPr="00BD5785">
        <w:rPr>
          <w:rFonts w:asciiTheme="minorEastAsia" w:eastAsiaTheme="minorEastAsia" w:hAnsiTheme="minorEastAsia" w:cs="Times New Roman"/>
          <w:sz w:val="24"/>
          <w:szCs w:val="24"/>
          <w:lang w:eastAsia="zh-CN"/>
        </w:rPr>
        <w:t>单点质控检查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检查频率不低于每周一次，在零气空白检查结束后通入一次单点标准气体，标准气体浓度选择日常平均浓度或标准曲线中间点浓度。分析结束后，记</w:t>
      </w:r>
      <w:r w:rsidRPr="00BD5785">
        <w:rPr>
          <w:rFonts w:asciiTheme="minorEastAsia" w:eastAsiaTheme="minorEastAsia" w:hAnsiTheme="minorEastAsia" w:cs="Times New Roman"/>
          <w:sz w:val="24"/>
          <w:szCs w:val="24"/>
          <w:lang w:eastAsia="zh-CN"/>
        </w:rPr>
        <w:lastRenderedPageBreak/>
        <w:t>录各化合物浓度并计算其与标准气体的相对误差，超过20%为不合格</w:t>
      </w:r>
      <w:r w:rsidRPr="00BD5785">
        <w:rPr>
          <w:rFonts w:asciiTheme="minorEastAsia" w:eastAsiaTheme="minorEastAsia" w:hAnsiTheme="minorEastAsia" w:cs="Times New Roman" w:hint="eastAsia"/>
          <w:sz w:val="24"/>
          <w:szCs w:val="24"/>
          <w:lang w:eastAsia="zh-CN"/>
        </w:rPr>
        <w:t>。如</w:t>
      </w:r>
      <w:r w:rsidRPr="00BD5785">
        <w:rPr>
          <w:rFonts w:asciiTheme="minorEastAsia" w:eastAsiaTheme="minorEastAsia" w:hAnsiTheme="minorEastAsia" w:cs="Times New Roman"/>
          <w:sz w:val="24"/>
          <w:szCs w:val="24"/>
          <w:lang w:eastAsia="zh-CN"/>
        </w:rPr>
        <w:t>不合格，则应检查系统，并重新绘制标准曲线。所有单点检查不合格目标化合物应对其进行明确标识，提醒相关单位慎重使用。</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应根据单点检查谱图检查各化合物保留时间漂移与分离情况。若 保留时间漂移影响积分，应重新设置积分窗口。</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臭氧生成潜势较高的目标化合物（如苯系物等，间、对二甲苯除外）分离度≤1时，应检查系统，重新设置色谱方法或者更换色谱柱等方法提高分离度，重新绘制标准曲线。</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单点检查完成后，应进行至少1次系统空白检查，清洗系统残留。 若长期单点检查后的系统空白检查表明各目标化合物残留均低于检 出限，可省去清洗环节。</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1.3</w:t>
      </w:r>
      <w:r w:rsidRPr="00BD5785">
        <w:rPr>
          <w:rFonts w:asciiTheme="minorEastAsia" w:eastAsiaTheme="minorEastAsia" w:hAnsiTheme="minorEastAsia" w:cs="Times New Roman"/>
          <w:b/>
          <w:sz w:val="24"/>
          <w:szCs w:val="24"/>
          <w:lang w:eastAsia="zh-CN"/>
        </w:rPr>
        <w:t>每</w:t>
      </w:r>
      <w:r w:rsidRPr="00BD5785">
        <w:rPr>
          <w:rFonts w:asciiTheme="minorEastAsia" w:eastAsiaTheme="minorEastAsia" w:hAnsiTheme="minorEastAsia" w:cs="Times New Roman" w:hint="eastAsia"/>
          <w:b/>
          <w:sz w:val="24"/>
          <w:szCs w:val="24"/>
          <w:lang w:eastAsia="zh-CN"/>
        </w:rPr>
        <w:t>月运维</w:t>
      </w:r>
      <w:r w:rsidRPr="00BD5785">
        <w:rPr>
          <w:rFonts w:asciiTheme="minorEastAsia" w:eastAsiaTheme="minorEastAsia" w:hAnsiTheme="minorEastAsia" w:cs="Times New Roman"/>
          <w:b/>
          <w:sz w:val="24"/>
          <w:szCs w:val="24"/>
          <w:lang w:eastAsia="zh-CN"/>
        </w:rPr>
        <w:t>内容</w:t>
      </w:r>
      <w:r w:rsidRPr="00BD5785">
        <w:rPr>
          <w:rFonts w:asciiTheme="minorEastAsia" w:eastAsiaTheme="minorEastAsia" w:hAnsiTheme="minorEastAsia" w:cs="Times New Roman" w:hint="eastAsia"/>
          <w:b/>
          <w:sz w:val="24"/>
          <w:szCs w:val="24"/>
          <w:lang w:eastAsia="zh-CN"/>
        </w:rPr>
        <w:t>与</w:t>
      </w:r>
      <w:r w:rsidRPr="00BD5785">
        <w:rPr>
          <w:rFonts w:asciiTheme="minorEastAsia" w:eastAsiaTheme="minorEastAsia" w:hAnsiTheme="minorEastAsia" w:cs="Times New Roman"/>
          <w:b/>
          <w:sz w:val="24"/>
          <w:szCs w:val="24"/>
          <w:lang w:eastAsia="zh-CN"/>
        </w:rPr>
        <w:t>系统质量控制要求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1.3.1</w:t>
      </w:r>
      <w:r w:rsidRPr="00BD5785">
        <w:rPr>
          <w:rFonts w:asciiTheme="minorEastAsia" w:eastAsiaTheme="minorEastAsia" w:hAnsiTheme="minorEastAsia" w:cs="Times New Roman"/>
          <w:sz w:val="24"/>
          <w:szCs w:val="24"/>
          <w:lang w:eastAsia="zh-CN"/>
        </w:rPr>
        <w:t>采样流量检查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不低于每月一次的检查频率，或在绘制标准曲线前应使用在计量 认证有效期内的标准流量计对采样流量进行检查。标准流量计接入位 置建议在系统的样品气进气口处。如系统不采用流量控制器或厂家说书、作业指导书有明确的流量或采样体积检查操作的，流量或采样体积检查按既有要求进行。采样流量示值与标准流量计示值的相对偏差应≤±5%（如采样流量为标况流量，标准流量计标况状态应与采样流量计一致；如采样流量为工况流量，标准流量计也应为工况流量）。相对偏差超出±5%时应进行检查或校准，同时对期间监测数据进行复核，不合格的数据应进行数据异常标识。</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1.4</w:t>
      </w:r>
      <w:r w:rsidRPr="00BD5785">
        <w:rPr>
          <w:rFonts w:asciiTheme="minorEastAsia" w:eastAsiaTheme="minorEastAsia" w:hAnsiTheme="minorEastAsia" w:cs="Times New Roman"/>
          <w:b/>
          <w:sz w:val="24"/>
          <w:szCs w:val="24"/>
          <w:lang w:eastAsia="zh-CN"/>
        </w:rPr>
        <w:t>每</w:t>
      </w:r>
      <w:r w:rsidRPr="00BD5785">
        <w:rPr>
          <w:rFonts w:asciiTheme="minorEastAsia" w:eastAsiaTheme="minorEastAsia" w:hAnsiTheme="minorEastAsia" w:cs="Times New Roman" w:hint="eastAsia"/>
          <w:b/>
          <w:sz w:val="24"/>
          <w:szCs w:val="24"/>
          <w:lang w:eastAsia="zh-CN"/>
        </w:rPr>
        <w:t>季度运维</w:t>
      </w:r>
      <w:r w:rsidRPr="00BD5785">
        <w:rPr>
          <w:rFonts w:asciiTheme="minorEastAsia" w:eastAsiaTheme="minorEastAsia" w:hAnsiTheme="minorEastAsia" w:cs="Times New Roman"/>
          <w:b/>
          <w:sz w:val="24"/>
          <w:szCs w:val="24"/>
          <w:lang w:eastAsia="zh-CN"/>
        </w:rPr>
        <w:t>内容</w:t>
      </w:r>
      <w:r w:rsidRPr="00BD5785">
        <w:rPr>
          <w:rFonts w:asciiTheme="minorEastAsia" w:eastAsiaTheme="minorEastAsia" w:hAnsiTheme="minorEastAsia" w:cs="Times New Roman" w:hint="eastAsia"/>
          <w:b/>
          <w:sz w:val="24"/>
          <w:szCs w:val="24"/>
          <w:lang w:eastAsia="zh-CN"/>
        </w:rPr>
        <w:t>与</w:t>
      </w:r>
      <w:r w:rsidRPr="00BD5785">
        <w:rPr>
          <w:rFonts w:asciiTheme="minorEastAsia" w:eastAsiaTheme="minorEastAsia" w:hAnsiTheme="minorEastAsia" w:cs="Times New Roman"/>
          <w:b/>
          <w:sz w:val="24"/>
          <w:szCs w:val="24"/>
          <w:lang w:eastAsia="zh-CN"/>
        </w:rPr>
        <w:t>系统质量控制要求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1.4.1</w:t>
      </w:r>
      <w:r w:rsidRPr="00BD5785">
        <w:rPr>
          <w:rFonts w:asciiTheme="minorEastAsia" w:eastAsiaTheme="minorEastAsia" w:hAnsiTheme="minorEastAsia" w:cs="Times New Roman"/>
          <w:sz w:val="24"/>
          <w:szCs w:val="24"/>
          <w:lang w:eastAsia="zh-CN"/>
        </w:rPr>
        <w:t>标准曲线绘制</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绘制标准曲线前，应进行零气空白检查（全系统空白），空白合格时进行标准曲线绘制。标准曲线至少每三个月重新绘制一次，并且至少包含5个浓度点。关键部位维修维护或更换，如进行检测器的清洗、质谱调谐后，需重新绘制标准曲线。标准曲线要求与</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4.3.2 一致。</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1.4.2</w:t>
      </w:r>
      <w:r w:rsidRPr="00BD5785">
        <w:rPr>
          <w:rFonts w:asciiTheme="minorEastAsia" w:eastAsiaTheme="minorEastAsia" w:hAnsiTheme="minorEastAsia" w:cs="Times New Roman"/>
          <w:sz w:val="24"/>
          <w:szCs w:val="24"/>
          <w:lang w:eastAsia="zh-CN"/>
        </w:rPr>
        <w:t>验漏检查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每周系统状态检查时核查系统气密性，每三个月应按系统说明书 的要求进行验漏检查。如系统条件允许，验漏应尽可能覆盖采样、富集/注射模块、气相色谱和检测器等全部环节。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1.4.3</w:t>
      </w:r>
      <w:r w:rsidRPr="00BD5785">
        <w:rPr>
          <w:rFonts w:asciiTheme="minorEastAsia" w:eastAsiaTheme="minorEastAsia" w:hAnsiTheme="minorEastAsia" w:cs="Times New Roman"/>
          <w:sz w:val="24"/>
          <w:szCs w:val="24"/>
          <w:lang w:eastAsia="zh-CN"/>
        </w:rPr>
        <w:t>温度、压力传感器检查如系统条件允许，应根据厂家提供的作业指导书或说明书的要求定期对富集模块、气相色谱和检测器的温度、压力传感器</w:t>
      </w:r>
      <w:r w:rsidRPr="00BD5785">
        <w:rPr>
          <w:rFonts w:asciiTheme="minorEastAsia" w:eastAsiaTheme="minorEastAsia" w:hAnsiTheme="minorEastAsia" w:cs="Times New Roman"/>
          <w:sz w:val="24"/>
          <w:szCs w:val="24"/>
          <w:lang w:eastAsia="zh-CN"/>
        </w:rPr>
        <w:lastRenderedPageBreak/>
        <w:t>进行检查。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1.4.4</w:t>
      </w:r>
      <w:r w:rsidRPr="00BD5785">
        <w:rPr>
          <w:rFonts w:asciiTheme="minorEastAsia" w:eastAsiaTheme="minorEastAsia" w:hAnsiTheme="minorEastAsia" w:cs="Times New Roman"/>
          <w:sz w:val="24"/>
          <w:szCs w:val="24"/>
          <w:lang w:eastAsia="zh-CN"/>
        </w:rPr>
        <w:t>使用压力比进行稀释的装置应按照各厂家说明书的要求定期使用在计量认证有效期内的标准气压计对压力进行核查。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使用流量比进行动态稀释的装置可使用在计量认证有效期内的标准流量计对其内部各流量计或流量控制装置进行流量传递，流量传递应注意流量计的输出状态，使用标准压力和和标准温度计换算成同等状态进行核查和校准。</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1.5</w:t>
      </w:r>
      <w:r w:rsidRPr="00BD5785">
        <w:rPr>
          <w:rFonts w:asciiTheme="minorEastAsia" w:eastAsiaTheme="minorEastAsia" w:hAnsiTheme="minorEastAsia" w:cs="Times New Roman"/>
          <w:b/>
          <w:sz w:val="24"/>
          <w:szCs w:val="24"/>
          <w:lang w:eastAsia="zh-CN"/>
        </w:rPr>
        <w:t>每</w:t>
      </w:r>
      <w:r w:rsidRPr="00BD5785">
        <w:rPr>
          <w:rFonts w:asciiTheme="minorEastAsia" w:eastAsiaTheme="minorEastAsia" w:hAnsiTheme="minorEastAsia" w:cs="Times New Roman" w:hint="eastAsia"/>
          <w:b/>
          <w:sz w:val="24"/>
          <w:szCs w:val="24"/>
          <w:lang w:eastAsia="zh-CN"/>
        </w:rPr>
        <w:t>年运维</w:t>
      </w:r>
      <w:r w:rsidRPr="00BD5785">
        <w:rPr>
          <w:rFonts w:asciiTheme="minorEastAsia" w:eastAsiaTheme="minorEastAsia" w:hAnsiTheme="minorEastAsia" w:cs="Times New Roman"/>
          <w:b/>
          <w:sz w:val="24"/>
          <w:szCs w:val="24"/>
          <w:lang w:eastAsia="zh-CN"/>
        </w:rPr>
        <w:t>内容</w:t>
      </w:r>
      <w:r w:rsidRPr="00BD5785">
        <w:rPr>
          <w:rFonts w:asciiTheme="minorEastAsia" w:eastAsiaTheme="minorEastAsia" w:hAnsiTheme="minorEastAsia" w:cs="Times New Roman" w:hint="eastAsia"/>
          <w:b/>
          <w:sz w:val="24"/>
          <w:szCs w:val="24"/>
          <w:lang w:eastAsia="zh-CN"/>
        </w:rPr>
        <w:t>与</w:t>
      </w:r>
      <w:r w:rsidRPr="00BD5785">
        <w:rPr>
          <w:rFonts w:asciiTheme="minorEastAsia" w:eastAsiaTheme="minorEastAsia" w:hAnsiTheme="minorEastAsia" w:cs="Times New Roman"/>
          <w:b/>
          <w:sz w:val="24"/>
          <w:szCs w:val="24"/>
          <w:lang w:eastAsia="zh-CN"/>
        </w:rPr>
        <w:t>系统质量控制要求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1.5.1</w:t>
      </w:r>
      <w:r w:rsidRPr="00BD5785">
        <w:rPr>
          <w:rFonts w:asciiTheme="minorEastAsia" w:eastAsiaTheme="minorEastAsia" w:hAnsiTheme="minorEastAsia" w:cs="Times New Roman"/>
          <w:sz w:val="24"/>
          <w:szCs w:val="24"/>
          <w:lang w:eastAsia="zh-CN"/>
        </w:rPr>
        <w:t>年度预防性维护</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每年对系统、辅助设备、校准或配气设备等开展预防性维护，对关键零部件进行拆卸清洁和保养，必要时进行更换。预防性维护后系 统应进行全面质控检查。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1.5.2</w:t>
      </w:r>
      <w:r w:rsidRPr="00BD5785">
        <w:rPr>
          <w:rFonts w:asciiTheme="minorEastAsia" w:eastAsiaTheme="minorEastAsia" w:hAnsiTheme="minorEastAsia" w:cs="Times New Roman"/>
          <w:sz w:val="24"/>
          <w:szCs w:val="24"/>
          <w:lang w:eastAsia="zh-CN"/>
        </w:rPr>
        <w:t xml:space="preserve"> 目标化合物测试</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每年进行一次目标化合物测试，考核指标主要包括空白检查、标准曲线、方法检出限和测定下限、分离度、期间精密度和准确度等。</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（1）空白与残留检查</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 xml:space="preserve">依照 </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4.3.1 及 4.3.7 分别进行零气空白和系统残留测试。记录测试时各化合物浓度，检查结果应满足</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4.3.1 和 4.3.7 的要求。</w:t>
      </w:r>
      <w:r w:rsidRPr="00BD5785">
        <w:rPr>
          <w:rFonts w:asciiTheme="minorEastAsia" w:eastAsiaTheme="minorEastAsia" w:hAnsiTheme="minorEastAsia" w:cs="Times New Roman" w:hint="eastAsia"/>
          <w:sz w:val="24"/>
          <w:szCs w:val="24"/>
          <w:lang w:eastAsia="zh-CN"/>
        </w:rPr>
        <w:t>若</w:t>
      </w:r>
      <w:r w:rsidRPr="00BD5785">
        <w:rPr>
          <w:rFonts w:asciiTheme="minorEastAsia" w:eastAsiaTheme="minorEastAsia" w:hAnsiTheme="minorEastAsia" w:cs="Times New Roman"/>
          <w:sz w:val="24"/>
          <w:szCs w:val="24"/>
          <w:lang w:eastAsia="zh-CN"/>
        </w:rPr>
        <w:t>不合格</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应查找原因，对载气系统、采样/富集模块进行维护、更换，并重新绘制标准曲线，重新开始目标化合物测试工作。</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（2）标准曲线</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空白测试合格后，依照</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4.3.2 进行标准曲线的绘制。</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完成标准曲线绘制后，目标化合物测试阶段不得再对标准曲线进行更改。</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（3）方法检出限和测定下限</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完成标准曲线后，在系统正常工作状态下，依照</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4.3.3 进行方法检出限和测定下限测试。方法检出限应≤0.15 nmol/mol；如不合格时，应对系统进行维护、检修，维护、检修后重新测试检出限。</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w:t>
      </w:r>
      <w:r w:rsidRPr="00BD5785">
        <w:rPr>
          <w:rFonts w:asciiTheme="minorEastAsia" w:eastAsiaTheme="minorEastAsia" w:hAnsiTheme="minorEastAsia" w:cs="Times New Roman" w:hint="eastAsia"/>
          <w:sz w:val="24"/>
          <w:szCs w:val="24"/>
          <w:lang w:eastAsia="zh-CN"/>
        </w:rPr>
        <w:t>4</w:t>
      </w:r>
      <w:r w:rsidRPr="00BD5785">
        <w:rPr>
          <w:rFonts w:asciiTheme="minorEastAsia" w:eastAsiaTheme="minorEastAsia" w:hAnsiTheme="minorEastAsia" w:cs="Times New Roman"/>
          <w:sz w:val="24"/>
          <w:szCs w:val="24"/>
          <w:lang w:eastAsia="zh-CN"/>
        </w:rPr>
        <w:t>）期间精密度和准确度 每年开展目标化合物测试期间，选取连续七天作为测试时间段，依照</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技术规定</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4.3.5 进行期间精密度和准确度测试。各浓度点的期间准确度应≤20%，期间精密度应≤20%</w:t>
      </w:r>
      <w:r w:rsidRPr="00BD5785">
        <w:rPr>
          <w:rFonts w:asciiTheme="minorEastAsia" w:eastAsiaTheme="minorEastAsia" w:hAnsiTheme="minorEastAsia" w:cs="Times New Roman" w:hint="eastAsia"/>
          <w:sz w:val="24"/>
          <w:szCs w:val="24"/>
          <w:lang w:eastAsia="zh-CN"/>
        </w:rPr>
        <w:t>。</w:t>
      </w:r>
      <w:r w:rsidRPr="00BD5785">
        <w:rPr>
          <w:rFonts w:asciiTheme="minorEastAsia" w:eastAsiaTheme="minorEastAsia" w:hAnsiTheme="minorEastAsia" w:cs="Times New Roman"/>
          <w:sz w:val="24"/>
          <w:szCs w:val="24"/>
          <w:lang w:eastAsia="zh-CN"/>
        </w:rPr>
        <w:t>系统在测试阶段的参数设置、关键配件、耗材使用情况应明确记录，记录表存放于站点，如后续监测过程中发生偏离，应详细记录并阐明原因。</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hint="eastAsia"/>
          <w:sz w:val="24"/>
          <w:szCs w:val="24"/>
          <w:lang w:eastAsia="zh-CN"/>
        </w:rPr>
        <w:t>1.5.3标准流量计检定和校准</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lastRenderedPageBreak/>
        <w:t>应根据采样流量范围或动态稀释流量范围选择合适的流量计，流 量计应采用计量检定、计量校准等形式进行量值溯源，进行溯源的气体流量点应在其日常应用的流量范围内。流量计示值与标准流量值的相对误差应≤±1%，如超过±1%，应对其示值进行修正。</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1</w:t>
      </w:r>
      <w:r w:rsidRPr="00BD5785">
        <w:rPr>
          <w:rFonts w:asciiTheme="minorEastAsia" w:eastAsiaTheme="minorEastAsia" w:hAnsiTheme="minorEastAsia" w:cs="Times New Roman"/>
          <w:b/>
          <w:sz w:val="24"/>
          <w:szCs w:val="24"/>
          <w:lang w:eastAsia="zh-CN"/>
        </w:rPr>
        <w:t>.</w:t>
      </w:r>
      <w:r w:rsidRPr="00BD5785">
        <w:rPr>
          <w:rFonts w:asciiTheme="minorEastAsia" w:eastAsiaTheme="minorEastAsia" w:hAnsiTheme="minorEastAsia" w:cs="Times New Roman" w:hint="eastAsia"/>
          <w:b/>
          <w:sz w:val="24"/>
          <w:szCs w:val="24"/>
          <w:lang w:eastAsia="zh-CN"/>
        </w:rPr>
        <w:t>6</w:t>
      </w:r>
      <w:r w:rsidRPr="00BD5785">
        <w:rPr>
          <w:rFonts w:asciiTheme="minorEastAsia" w:eastAsiaTheme="minorEastAsia" w:hAnsiTheme="minorEastAsia" w:cs="Times New Roman"/>
          <w:b/>
          <w:sz w:val="24"/>
          <w:szCs w:val="24"/>
          <w:lang w:eastAsia="zh-CN"/>
        </w:rPr>
        <w:t xml:space="preserve"> 其他</w:t>
      </w:r>
      <w:r w:rsidRPr="00BD5785">
        <w:rPr>
          <w:rFonts w:asciiTheme="minorEastAsia" w:eastAsiaTheme="minorEastAsia" w:hAnsiTheme="minorEastAsia" w:cs="Times New Roman" w:hint="eastAsia"/>
          <w:b/>
          <w:sz w:val="24"/>
          <w:szCs w:val="24"/>
          <w:lang w:eastAsia="zh-CN"/>
        </w:rPr>
        <w:t>运营</w:t>
      </w:r>
      <w:r w:rsidRPr="00BD5785">
        <w:rPr>
          <w:rFonts w:asciiTheme="minorEastAsia" w:eastAsiaTheme="minorEastAsia" w:hAnsiTheme="minorEastAsia" w:cs="Times New Roman"/>
          <w:b/>
          <w:sz w:val="24"/>
          <w:szCs w:val="24"/>
          <w:lang w:eastAsia="zh-CN"/>
        </w:rPr>
        <w:t>维护内容</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按照系统说明书或作业指导书要求定期更换吸附管或捕集柱、阀 膜、色谱柱等重要耗材。</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按照系统说明书或作业指导书要求做好周期性维护，及时清洁气 动阀阀芯、散热风扇、火焰离子化检测器等重要部件，对检测器进行清理维护、维修、调谐后，应重新建立标准曲线。</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如运行维护涉及对气路上的关键硬件部分进行拆卸、打开，维护 操作完成后，应按照系统说明书、作业指导书等要求对系统进行验漏。</w:t>
      </w:r>
    </w:p>
    <w:p w:rsidR="00ED315C" w:rsidRPr="00ED315C" w:rsidRDefault="00ED315C" w:rsidP="00ED315C">
      <w:pPr>
        <w:pStyle w:val="a6"/>
        <w:widowControl/>
        <w:spacing w:before="0" w:beforeAutospacing="0" w:afterLines="50" w:after="156" w:afterAutospacing="0" w:line="440" w:lineRule="exact"/>
        <w:ind w:firstLineChars="150" w:firstLine="361"/>
        <w:jc w:val="both"/>
        <w:rPr>
          <w:b/>
          <w:bCs/>
        </w:rPr>
      </w:pPr>
      <w:r>
        <w:rPr>
          <w:rFonts w:hint="eastAsia"/>
          <w:b/>
          <w:bCs/>
        </w:rPr>
        <w:t xml:space="preserve">1.7 </w:t>
      </w:r>
      <w:r w:rsidRPr="00ED315C">
        <w:rPr>
          <w:rFonts w:hint="eastAsia"/>
          <w:b/>
          <w:bCs/>
        </w:rPr>
        <w:t>运营成果要求</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1）半年维护结束后30日内提交半年运营维护报告。</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2）年维护结束后30日内提交年度运营维护报告。</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3）运营维护报告内容：</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3.1）综述。</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3.2）各监测子站参数达标结果及仪器运行情况总结。</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3.3）各监测子站质控任务总结表（数据获取率，校准执行等）。</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3.4）各监测子站站点突发事件说明。</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3.5）各监测子站校准结果，工作记录和控制图。</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3.6）各监测子站精度校准结果表。</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3.7）各监测子站附录维修工作表及测试报告。</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3.8）气体使用状况。</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3.9）仪器故障未修复状况。</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3.10）结论与建议。</w:t>
      </w:r>
    </w:p>
    <w:p w:rsidR="00ED315C" w:rsidRDefault="00ED315C" w:rsidP="00ED315C">
      <w:pPr>
        <w:pStyle w:val="a6"/>
        <w:widowControl/>
        <w:spacing w:before="0" w:beforeAutospacing="0" w:after="150" w:afterAutospacing="0" w:line="400" w:lineRule="exact"/>
        <w:ind w:firstLine="482"/>
        <w:rPr>
          <w:rFonts w:ascii="宋体" w:hAnsi="宋体" w:cs="宋体"/>
        </w:rPr>
      </w:pPr>
      <w:r>
        <w:rPr>
          <w:rFonts w:ascii="宋体" w:hAnsi="宋体" w:cs="宋体" w:hint="eastAsia"/>
        </w:rPr>
        <w:t>3.11）采购人所规定其他条目。</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2</w:t>
      </w:r>
      <w:r w:rsidRPr="00BD5785">
        <w:rPr>
          <w:rFonts w:asciiTheme="minorEastAsia" w:eastAsiaTheme="minorEastAsia" w:hAnsiTheme="minorEastAsia" w:cs="Times New Roman"/>
          <w:b/>
          <w:sz w:val="24"/>
          <w:szCs w:val="24"/>
          <w:lang w:eastAsia="zh-CN"/>
        </w:rPr>
        <w:t xml:space="preserve"> 日常运行质量体系要求</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lastRenderedPageBreak/>
        <w:t>2.1</w:t>
      </w:r>
      <w:r w:rsidRPr="00BD5785">
        <w:rPr>
          <w:rFonts w:asciiTheme="minorEastAsia" w:eastAsiaTheme="minorEastAsia" w:hAnsiTheme="minorEastAsia" w:cs="Times New Roman"/>
          <w:b/>
          <w:sz w:val="24"/>
          <w:szCs w:val="24"/>
          <w:lang w:eastAsia="zh-CN"/>
        </w:rPr>
        <w:t xml:space="preserve"> 人员要求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运维单位根据其负责的监测系统和运维任务对技术人员进行必要的理论和实操培训，使其能够熟练的掌握系统的运维和质控操作。掌握耗材备件更换及必要的维护工作，并熟练使用数据平台，能够及时判断系统运行的异常并进行重积分、异常数据标识等。责任方应对人员能力进行考核确认，并建立相应的人员档案，保存人员的培训和考核记录。</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2.2</w:t>
      </w:r>
      <w:r w:rsidRPr="00BD5785">
        <w:rPr>
          <w:rFonts w:asciiTheme="minorEastAsia" w:eastAsiaTheme="minorEastAsia" w:hAnsiTheme="minorEastAsia" w:cs="Times New Roman"/>
          <w:b/>
          <w:sz w:val="24"/>
          <w:szCs w:val="24"/>
          <w:lang w:eastAsia="zh-CN"/>
        </w:rPr>
        <w:t xml:space="preserve"> 关键技术文件要求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（1）质量管理工作计划运维单位应制定相应的质量管理工作计划，明确各项运维工作、数据审核和标识工作、质控工作、量值传递工作的负责人员、时间频 次、合格标准、耗品耗材、标准气体、计量标准器具等各项要求。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（2）作业指导书</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运维单位应根据负责运维的系统设备、标准气体、计量标准器具以及制定的质量管理工作计划制定相应的作业指导书，明确各项运维 工作、质控工作、数据审核工作、数据标识的具体要求，指导运维技术人员开展相关工作。</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（3）记录表格</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运维单位应根据负责运维的系统设备、标准气体、计量标准器具 以及制定的作业指导书制定相应的记录表格，记录表格应包括各项运 维工作、质控工作、维修工作等，并放置于点位现场备查。</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2.3</w:t>
      </w:r>
      <w:r w:rsidRPr="00BD5785">
        <w:rPr>
          <w:rFonts w:asciiTheme="minorEastAsia" w:eastAsiaTheme="minorEastAsia" w:hAnsiTheme="minorEastAsia" w:cs="Times New Roman"/>
          <w:b/>
          <w:sz w:val="24"/>
          <w:szCs w:val="24"/>
          <w:lang w:eastAsia="zh-CN"/>
        </w:rPr>
        <w:t xml:space="preserve"> 内部监督检查要求</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各运维单位应组织专门的监督核查人员或采用交叉检查的方式定期对其运维的站点开展独立、系统的内部核查，核查应涵盖运维与质控的关键环节。各单位应如实、详细记录其内部核查结果，并在站点保存备份有内部核查记录。</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bookmarkStart w:id="1" w:name="_bookmark5"/>
      <w:bookmarkStart w:id="2" w:name="_bookmark6"/>
      <w:bookmarkEnd w:id="1"/>
      <w:bookmarkEnd w:id="2"/>
      <w:r w:rsidRPr="00BD5785">
        <w:rPr>
          <w:rFonts w:asciiTheme="minorEastAsia" w:eastAsiaTheme="minorEastAsia" w:hAnsiTheme="minorEastAsia" w:cs="Times New Roman" w:hint="eastAsia"/>
          <w:b/>
          <w:sz w:val="24"/>
          <w:szCs w:val="24"/>
          <w:lang w:eastAsia="zh-CN"/>
        </w:rPr>
        <w:t>3</w:t>
      </w:r>
      <w:r w:rsidRPr="00BD5785">
        <w:rPr>
          <w:rFonts w:asciiTheme="minorEastAsia" w:eastAsiaTheme="minorEastAsia" w:hAnsiTheme="minorEastAsia" w:cs="Times New Roman"/>
          <w:b/>
          <w:sz w:val="24"/>
          <w:szCs w:val="24"/>
          <w:lang w:eastAsia="zh-CN"/>
        </w:rPr>
        <w:t>、量值溯源</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应使用可溯源性的标准气体对系统进行校准，国产标准气体推荐使用国家标准物质（GBW 和 GBW-E）、国家标准样品（GSB），进口 标准气体应能溯源至国际权威的计量机构（如 NIST 等）。</w:t>
      </w:r>
      <w:r w:rsidRPr="00BD5785">
        <w:rPr>
          <w:rFonts w:asciiTheme="minorEastAsia" w:eastAsiaTheme="minorEastAsia" w:hAnsiTheme="minorEastAsia" w:cs="Times New Roman" w:hint="eastAsia"/>
          <w:sz w:val="24"/>
          <w:szCs w:val="24"/>
          <w:lang w:eastAsia="zh-CN"/>
        </w:rPr>
        <w:t>标准气体应定期检查，确保在有效期内使用。</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4</w:t>
      </w:r>
      <w:r w:rsidRPr="00BD5785">
        <w:rPr>
          <w:rFonts w:asciiTheme="minorEastAsia" w:eastAsiaTheme="minorEastAsia" w:hAnsiTheme="minorEastAsia" w:cs="Times New Roman"/>
          <w:b/>
          <w:sz w:val="24"/>
          <w:szCs w:val="24"/>
          <w:lang w:eastAsia="zh-CN"/>
        </w:rPr>
        <w:t>、数据审核和处理</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4</w:t>
      </w:r>
      <w:r w:rsidRPr="00BD5785">
        <w:rPr>
          <w:rFonts w:asciiTheme="minorEastAsia" w:eastAsiaTheme="minorEastAsia" w:hAnsiTheme="minorEastAsia" w:cs="Times New Roman"/>
          <w:b/>
          <w:sz w:val="24"/>
          <w:szCs w:val="24"/>
          <w:lang w:eastAsia="zh-CN"/>
        </w:rPr>
        <w:t>.1 无效数据剔除</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日常运行及数据上报过程中，应依据系统运行状况、色谱/质谱图、质控结果等识别系统运行过程中产生的无效或异常数据，并在数据库中对无效或异常情况进行分类标识，剔除异常数据。</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lastRenderedPageBreak/>
        <w:t>4</w:t>
      </w:r>
      <w:r w:rsidRPr="00BD5785">
        <w:rPr>
          <w:rFonts w:asciiTheme="minorEastAsia" w:eastAsiaTheme="minorEastAsia" w:hAnsiTheme="minorEastAsia" w:cs="Times New Roman"/>
          <w:b/>
          <w:sz w:val="24"/>
          <w:szCs w:val="24"/>
          <w:lang w:eastAsia="zh-CN"/>
        </w:rPr>
        <w:t>.2 数据重积分及补录</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系统受气象因素变化和系统本身因素导致的整体性峰漂，或其他 特殊情况导致自动积分有误时，及时进行重积分后补录数据。</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4</w:t>
      </w:r>
      <w:r w:rsidRPr="00BD5785">
        <w:rPr>
          <w:rFonts w:asciiTheme="minorEastAsia" w:eastAsiaTheme="minorEastAsia" w:hAnsiTheme="minorEastAsia" w:cs="Times New Roman"/>
          <w:b/>
          <w:sz w:val="24"/>
          <w:szCs w:val="24"/>
          <w:lang w:eastAsia="zh-CN"/>
        </w:rPr>
        <w:t>.3 数据补遗</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监测数据因通讯等连接问题导致上位端平台数据缺失时，应对缺 失时段数据进行补遗。</w:t>
      </w:r>
    </w:p>
    <w:p w:rsidR="00DF7DA6" w:rsidRPr="00BD5785" w:rsidRDefault="00DF7DA6" w:rsidP="00DF7DA6">
      <w:pPr>
        <w:pStyle w:val="a5"/>
        <w:spacing w:before="61" w:line="400" w:lineRule="exact"/>
        <w:ind w:right="96"/>
        <w:rPr>
          <w:rFonts w:asciiTheme="minorEastAsia" w:eastAsiaTheme="minorEastAsia" w:hAnsiTheme="minorEastAsia" w:cs="Times New Roman"/>
          <w:b/>
          <w:sz w:val="24"/>
          <w:szCs w:val="24"/>
          <w:lang w:eastAsia="zh-CN"/>
        </w:rPr>
      </w:pPr>
      <w:r w:rsidRPr="00BD5785">
        <w:rPr>
          <w:rFonts w:asciiTheme="minorEastAsia" w:eastAsiaTheme="minorEastAsia" w:hAnsiTheme="minorEastAsia" w:cs="Times New Roman" w:hint="eastAsia"/>
          <w:b/>
          <w:sz w:val="24"/>
          <w:szCs w:val="24"/>
          <w:lang w:eastAsia="zh-CN"/>
        </w:rPr>
        <w:t>4</w:t>
      </w:r>
      <w:r w:rsidRPr="00BD5785">
        <w:rPr>
          <w:rFonts w:asciiTheme="minorEastAsia" w:eastAsiaTheme="minorEastAsia" w:hAnsiTheme="minorEastAsia" w:cs="Times New Roman"/>
          <w:b/>
          <w:sz w:val="24"/>
          <w:szCs w:val="24"/>
          <w:lang w:eastAsia="zh-CN"/>
        </w:rPr>
        <w:t>.4 有效数据率</w:t>
      </w:r>
    </w:p>
    <w:p w:rsidR="00DF7DA6" w:rsidRPr="00BD5785" w:rsidRDefault="00DF7DA6" w:rsidP="00DF7DA6">
      <w:pPr>
        <w:pStyle w:val="a5"/>
        <w:spacing w:before="61" w:line="400" w:lineRule="exact"/>
        <w:ind w:right="96"/>
        <w:rPr>
          <w:rFonts w:asciiTheme="minorEastAsia" w:eastAsiaTheme="minorEastAsia" w:hAnsiTheme="minorEastAsia" w:cs="Times New Roman"/>
          <w:sz w:val="24"/>
          <w:szCs w:val="24"/>
          <w:lang w:eastAsia="zh-CN"/>
        </w:rPr>
      </w:pPr>
      <w:r w:rsidRPr="00BD5785">
        <w:rPr>
          <w:rFonts w:asciiTheme="minorEastAsia" w:eastAsiaTheme="minorEastAsia" w:hAnsiTheme="minorEastAsia" w:cs="Times New Roman"/>
          <w:sz w:val="24"/>
          <w:szCs w:val="24"/>
          <w:lang w:eastAsia="zh-CN"/>
        </w:rPr>
        <w:t>运维单位应最大限度保证系统连续运行，有效数据率不低于80%，数据缺失时，应尽快解决问题并恢复正常运行；重大活动保障和重污染时段，设备不得无故停机。</w:t>
      </w:r>
    </w:p>
    <w:p w:rsidR="00ED315C" w:rsidRDefault="00ED315C" w:rsidP="00DF7DA6">
      <w:pPr>
        <w:pStyle w:val="a5"/>
        <w:spacing w:before="61" w:line="391" w:lineRule="auto"/>
        <w:ind w:right="96"/>
        <w:jc w:val="center"/>
        <w:rPr>
          <w:rFonts w:ascii="Times New Roman" w:hAnsi="Times New Roman" w:cs="Times New Roman"/>
          <w:b/>
          <w:lang w:eastAsia="zh-CN"/>
        </w:rPr>
      </w:pPr>
    </w:p>
    <w:p w:rsidR="00DF7DA6" w:rsidRPr="00BD5785" w:rsidRDefault="00DF7DA6" w:rsidP="00DF7DA6">
      <w:pPr>
        <w:pStyle w:val="a5"/>
        <w:spacing w:before="61" w:line="391" w:lineRule="auto"/>
        <w:ind w:right="96"/>
        <w:jc w:val="center"/>
        <w:rPr>
          <w:rFonts w:ascii="Times New Roman" w:hAnsi="Times New Roman" w:cs="Times New Roman"/>
          <w:b/>
          <w:lang w:eastAsia="zh-CN"/>
        </w:rPr>
      </w:pPr>
      <w:r w:rsidRPr="00BD5785">
        <w:rPr>
          <w:rFonts w:ascii="Times New Roman" w:hAnsi="Times New Roman" w:cs="Times New Roman"/>
          <w:b/>
          <w:lang w:eastAsia="zh-CN"/>
        </w:rPr>
        <w:t>质控合格标准与时间频次</w:t>
      </w:r>
    </w:p>
    <w:p w:rsidR="00DF7DA6" w:rsidRDefault="00DF7DA6" w:rsidP="00DF7DA6">
      <w:pPr>
        <w:spacing w:before="12"/>
        <w:rPr>
          <w:rFonts w:ascii="黑体" w:eastAsia="黑体" w:hAnsi="黑体" w:cs="黑体"/>
          <w:b/>
          <w:bCs/>
          <w:sz w:val="9"/>
          <w:szCs w:val="9"/>
        </w:rPr>
      </w:pPr>
    </w:p>
    <w:tbl>
      <w:tblPr>
        <w:tblStyle w:val="TableNormal"/>
        <w:tblW w:w="8717" w:type="dxa"/>
        <w:tblInd w:w="107" w:type="dxa"/>
        <w:tblLayout w:type="fixed"/>
        <w:tblLook w:val="01E0" w:firstRow="1" w:lastRow="1" w:firstColumn="1" w:lastColumn="1" w:noHBand="0" w:noVBand="0"/>
      </w:tblPr>
      <w:tblGrid>
        <w:gridCol w:w="1402"/>
        <w:gridCol w:w="5584"/>
        <w:gridCol w:w="1731"/>
      </w:tblGrid>
      <w:tr w:rsidR="00DF7DA6" w:rsidTr="00D9343E">
        <w:trPr>
          <w:trHeight w:hRule="exact" w:val="634"/>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590" w:right="165" w:hanging="420"/>
              <w:jc w:val="both"/>
              <w:rPr>
                <w:rFonts w:ascii="宋体" w:eastAsia="宋体" w:hAnsi="宋体" w:cs="宋体"/>
                <w:sz w:val="21"/>
                <w:szCs w:val="21"/>
              </w:rPr>
            </w:pPr>
            <w:r>
              <w:rPr>
                <w:rFonts w:ascii="宋体" w:eastAsia="宋体" w:hAnsi="宋体" w:cs="宋体"/>
                <w:spacing w:val="-1"/>
                <w:sz w:val="21"/>
                <w:szCs w:val="21"/>
              </w:rPr>
              <w:t>质控工作名</w:t>
            </w:r>
            <w:r>
              <w:rPr>
                <w:rFonts w:ascii="宋体" w:eastAsia="宋体" w:hAnsi="宋体" w:cs="宋体"/>
                <w:sz w:val="21"/>
                <w:szCs w:val="21"/>
              </w:rPr>
              <w:t>称</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ind w:left="1745"/>
              <w:rPr>
                <w:rFonts w:ascii="宋体" w:eastAsia="宋体" w:hAnsi="宋体" w:cs="宋体"/>
                <w:sz w:val="21"/>
                <w:szCs w:val="21"/>
              </w:rPr>
            </w:pPr>
            <w:r>
              <w:rPr>
                <w:rFonts w:ascii="宋体" w:eastAsia="宋体" w:hAnsi="宋体" w:cs="宋体"/>
                <w:sz w:val="21"/>
                <w:szCs w:val="21"/>
              </w:rPr>
              <w:t>关键内容与合格标准</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jc w:val="center"/>
              <w:rPr>
                <w:rFonts w:ascii="宋体" w:eastAsia="宋体" w:hAnsi="宋体" w:cs="宋体"/>
                <w:sz w:val="21"/>
                <w:szCs w:val="21"/>
              </w:rPr>
            </w:pPr>
            <w:r>
              <w:rPr>
                <w:rFonts w:ascii="宋体" w:eastAsia="宋体" w:hAnsi="宋体" w:cs="宋体"/>
                <w:sz w:val="21"/>
                <w:szCs w:val="21"/>
              </w:rPr>
              <w:t>时间频次</w:t>
            </w:r>
          </w:p>
        </w:tc>
      </w:tr>
      <w:tr w:rsidR="00DF7DA6" w:rsidTr="00D9343E">
        <w:trPr>
          <w:trHeight w:hRule="exact" w:val="1786"/>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103" w:right="98"/>
              <w:jc w:val="both"/>
              <w:rPr>
                <w:rFonts w:ascii="宋体" w:eastAsia="宋体" w:hAnsi="宋体" w:cs="宋体"/>
                <w:sz w:val="21"/>
                <w:szCs w:val="21"/>
                <w:lang w:eastAsia="zh-CN"/>
              </w:rPr>
            </w:pPr>
            <w:r>
              <w:rPr>
                <w:rFonts w:ascii="宋体" w:eastAsia="宋体" w:hAnsi="宋体" w:cs="宋体"/>
                <w:spacing w:val="-14"/>
                <w:sz w:val="21"/>
                <w:szCs w:val="21"/>
                <w:lang w:eastAsia="zh-CN"/>
              </w:rPr>
              <w:t xml:space="preserve">零气空白（全 </w:t>
            </w:r>
            <w:r>
              <w:rPr>
                <w:rFonts w:ascii="宋体" w:eastAsia="宋体" w:hAnsi="宋体" w:cs="宋体"/>
                <w:spacing w:val="-19"/>
                <w:sz w:val="21"/>
                <w:szCs w:val="21"/>
                <w:lang w:eastAsia="zh-CN"/>
              </w:rPr>
              <w:t>系统空白）、</w:t>
            </w:r>
            <w:r>
              <w:rPr>
                <w:rFonts w:ascii="宋体" w:eastAsia="宋体" w:hAnsi="宋体" w:cs="宋体"/>
                <w:sz w:val="21"/>
                <w:szCs w:val="21"/>
                <w:lang w:eastAsia="zh-CN"/>
              </w:rPr>
              <w:t xml:space="preserve"> 系统空白检查</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ind w:left="103" w:firstLineChars="200" w:firstLine="400"/>
              <w:rPr>
                <w:rFonts w:ascii="宋体" w:eastAsia="宋体" w:hAnsi="宋体" w:cs="宋体"/>
                <w:sz w:val="21"/>
                <w:szCs w:val="21"/>
                <w:lang w:eastAsia="zh-CN"/>
              </w:rPr>
            </w:pPr>
            <w:r>
              <w:rPr>
                <w:rFonts w:ascii="宋体" w:eastAsia="宋体" w:hAnsi="宋体" w:cs="宋体"/>
                <w:spacing w:val="-5"/>
                <w:sz w:val="21"/>
                <w:szCs w:val="21"/>
                <w:lang w:eastAsia="zh-CN"/>
              </w:rPr>
              <w:t>每月应在系统空白检查结束后，在系统的采样口通入零气</w:t>
            </w:r>
            <w:r>
              <w:rPr>
                <w:rFonts w:ascii="宋体" w:eastAsia="宋体" w:hAnsi="宋体" w:cs="宋体"/>
                <w:spacing w:val="-6"/>
                <w:sz w:val="21"/>
                <w:szCs w:val="21"/>
                <w:lang w:eastAsia="zh-CN"/>
              </w:rPr>
              <w:t>（高纯氮气或零空气），零气覆盖系统的采样管路、富集</w:t>
            </w:r>
            <w:r>
              <w:rPr>
                <w:rFonts w:ascii="宋体" w:eastAsia="宋体" w:hAnsi="宋体" w:cs="宋体"/>
                <w:spacing w:val="-5"/>
                <w:sz w:val="21"/>
                <w:szCs w:val="21"/>
                <w:lang w:eastAsia="zh-CN"/>
              </w:rPr>
              <w:t>模块、气相色谱和检测器，各化合物日常残留应低于检出</w:t>
            </w:r>
            <w:r>
              <w:rPr>
                <w:rFonts w:ascii="宋体" w:eastAsia="宋体" w:hAnsi="宋体" w:cs="宋体"/>
                <w:sz w:val="21"/>
                <w:szCs w:val="21"/>
                <w:lang w:eastAsia="zh-CN"/>
              </w:rPr>
              <w:t xml:space="preserve">限且低于 </w:t>
            </w:r>
            <w:r>
              <w:rPr>
                <w:rFonts w:ascii="Times New Roman" w:eastAsia="Times New Roman" w:hAnsi="Times New Roman" w:cs="Times New Roman"/>
                <w:sz w:val="21"/>
                <w:szCs w:val="21"/>
                <w:lang w:eastAsia="zh-CN"/>
              </w:rPr>
              <w:t>0.1nmol/mol</w:t>
            </w:r>
            <w:r>
              <w:rPr>
                <w:rFonts w:ascii="宋体" w:eastAsia="宋体" w:hAnsi="宋体" w:cs="宋体" w:hint="eastAsia"/>
                <w:sz w:val="21"/>
                <w:szCs w:val="21"/>
                <w:lang w:eastAsia="zh-CN"/>
              </w:rPr>
              <w:t>。</w:t>
            </w:r>
          </w:p>
          <w:p w:rsidR="00DF7DA6" w:rsidRDefault="00DF7DA6" w:rsidP="00D9343E">
            <w:pPr>
              <w:pStyle w:val="TableParagraph"/>
              <w:spacing w:line="262" w:lineRule="exact"/>
              <w:ind w:left="103" w:firstLineChars="200" w:firstLine="420"/>
              <w:rPr>
                <w:rFonts w:ascii="宋体" w:eastAsia="宋体" w:hAnsi="宋体" w:cs="宋体"/>
                <w:sz w:val="21"/>
                <w:szCs w:val="21"/>
                <w:lang w:eastAsia="zh-CN"/>
              </w:rPr>
            </w:pPr>
            <w:r>
              <w:rPr>
                <w:rFonts w:ascii="宋体" w:eastAsia="宋体" w:hAnsi="宋体" w:cs="宋体"/>
                <w:sz w:val="21"/>
                <w:szCs w:val="21"/>
                <w:lang w:eastAsia="zh-CN"/>
              </w:rPr>
              <w:t>若</w:t>
            </w:r>
            <w:r>
              <w:rPr>
                <w:rFonts w:ascii="宋体" w:eastAsia="宋体" w:hAnsi="宋体" w:cs="宋体"/>
                <w:spacing w:val="-3"/>
                <w:sz w:val="21"/>
                <w:szCs w:val="21"/>
                <w:lang w:eastAsia="zh-CN"/>
              </w:rPr>
              <w:t xml:space="preserve">不合格，应对系统进行检查，如载气、零气、采样 </w:t>
            </w:r>
            <w:r>
              <w:rPr>
                <w:rFonts w:ascii="宋体" w:eastAsia="宋体" w:hAnsi="宋体" w:cs="宋体"/>
                <w:sz w:val="21"/>
                <w:szCs w:val="21"/>
                <w:lang w:eastAsia="zh-CN"/>
              </w:rPr>
              <w:t>管路等。</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jc w:val="center"/>
              <w:rPr>
                <w:rFonts w:ascii="宋体" w:eastAsia="宋体" w:hAnsi="宋体" w:cs="宋体"/>
                <w:sz w:val="21"/>
                <w:szCs w:val="21"/>
              </w:rPr>
            </w:pPr>
            <w:r>
              <w:rPr>
                <w:rFonts w:ascii="宋体" w:eastAsia="宋体" w:hAnsi="宋体" w:cs="宋体"/>
                <w:sz w:val="21"/>
                <w:szCs w:val="21"/>
              </w:rPr>
              <w:t>每周一次</w:t>
            </w:r>
          </w:p>
        </w:tc>
      </w:tr>
      <w:tr w:rsidR="00DF7DA6" w:rsidTr="00D9343E">
        <w:trPr>
          <w:trHeight w:hRule="exact" w:val="2407"/>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590" w:right="165" w:hanging="420"/>
              <w:jc w:val="center"/>
              <w:rPr>
                <w:rFonts w:ascii="宋体" w:eastAsia="宋体" w:hAnsi="宋体" w:cs="宋体"/>
                <w:spacing w:val="-1"/>
                <w:sz w:val="21"/>
                <w:szCs w:val="21"/>
              </w:rPr>
            </w:pPr>
            <w:r>
              <w:rPr>
                <w:rFonts w:ascii="宋体" w:eastAsia="宋体" w:hAnsi="宋体" w:cs="宋体"/>
                <w:spacing w:val="-1"/>
                <w:sz w:val="21"/>
                <w:szCs w:val="21"/>
              </w:rPr>
              <w:t>单点质控</w:t>
            </w:r>
          </w:p>
          <w:p w:rsidR="00DF7DA6" w:rsidRPr="004B6D5F" w:rsidRDefault="00DF7DA6" w:rsidP="00D9343E">
            <w:pPr>
              <w:pStyle w:val="TableParagraph"/>
              <w:spacing w:line="273" w:lineRule="auto"/>
              <w:ind w:left="590" w:right="165" w:hanging="420"/>
              <w:jc w:val="center"/>
              <w:rPr>
                <w:rFonts w:ascii="宋体" w:eastAsia="宋体" w:hAnsi="宋体" w:cs="宋体"/>
                <w:spacing w:val="-1"/>
                <w:sz w:val="21"/>
                <w:szCs w:val="21"/>
              </w:rPr>
            </w:pPr>
            <w:r>
              <w:rPr>
                <w:rFonts w:ascii="宋体" w:eastAsia="宋体" w:hAnsi="宋体" w:cs="宋体"/>
                <w:spacing w:val="-1"/>
                <w:sz w:val="21"/>
                <w:szCs w:val="21"/>
              </w:rPr>
              <w:t>检</w:t>
            </w:r>
            <w:r w:rsidRPr="004B6D5F">
              <w:rPr>
                <w:rFonts w:ascii="宋体" w:eastAsia="宋体" w:hAnsi="宋体" w:cs="宋体"/>
                <w:spacing w:val="-1"/>
                <w:sz w:val="21"/>
                <w:szCs w:val="21"/>
              </w:rPr>
              <w:t xml:space="preserve"> 查</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3" w:lineRule="exact"/>
              <w:ind w:left="103" w:firstLineChars="200" w:firstLine="420"/>
              <w:rPr>
                <w:rFonts w:ascii="宋体" w:eastAsia="宋体" w:hAnsi="宋体" w:cs="宋体"/>
                <w:sz w:val="21"/>
                <w:szCs w:val="21"/>
                <w:lang w:eastAsia="zh-CN"/>
              </w:rPr>
            </w:pPr>
            <w:r>
              <w:rPr>
                <w:rFonts w:ascii="宋体" w:eastAsia="宋体" w:hAnsi="宋体" w:cs="宋体"/>
                <w:sz w:val="21"/>
                <w:szCs w:val="21"/>
                <w:lang w:eastAsia="zh-CN"/>
              </w:rPr>
              <w:t>浓度检查：通入日常平均浓度或标准曲线中间点浓度的标准气体进行核查，化合物相对误差</w:t>
            </w:r>
            <w:r>
              <w:rPr>
                <w:rFonts w:ascii="Times New Roman" w:eastAsia="Times New Roman" w:hAnsi="Times New Roman" w:cs="Times New Roman"/>
                <w:spacing w:val="-6"/>
                <w:sz w:val="21"/>
                <w:szCs w:val="21"/>
                <w:lang w:eastAsia="zh-CN"/>
              </w:rPr>
              <w:t>≤20%</w:t>
            </w:r>
            <w:r>
              <w:rPr>
                <w:rFonts w:ascii="宋体" w:eastAsia="宋体" w:hAnsi="宋体" w:cs="宋体"/>
                <w:spacing w:val="-20"/>
                <w:sz w:val="21"/>
                <w:szCs w:val="21"/>
                <w:lang w:eastAsia="zh-CN"/>
              </w:rPr>
              <w:t>；超过</w:t>
            </w:r>
            <w:r>
              <w:rPr>
                <w:rFonts w:ascii="宋体" w:eastAsia="宋体" w:hAnsi="宋体" w:cs="宋体"/>
                <w:spacing w:val="-43"/>
                <w:sz w:val="21"/>
                <w:szCs w:val="21"/>
                <w:lang w:eastAsia="zh-CN"/>
              </w:rPr>
              <w:t xml:space="preserve"> </w:t>
            </w:r>
            <w:r>
              <w:rPr>
                <w:rFonts w:ascii="Times New Roman" w:eastAsia="Times New Roman" w:hAnsi="Times New Roman" w:cs="Times New Roman"/>
                <w:spacing w:val="-2"/>
                <w:sz w:val="21"/>
                <w:szCs w:val="21"/>
                <w:lang w:eastAsia="zh-CN"/>
              </w:rPr>
              <w:t>20%</w:t>
            </w:r>
            <w:r>
              <w:rPr>
                <w:rFonts w:ascii="宋体" w:eastAsia="宋体" w:hAnsi="宋体" w:cs="宋体"/>
                <w:spacing w:val="-3"/>
                <w:sz w:val="21"/>
                <w:szCs w:val="21"/>
                <w:lang w:eastAsia="zh-CN"/>
              </w:rPr>
              <w:t>不合格，</w:t>
            </w:r>
            <w:r>
              <w:rPr>
                <w:rFonts w:ascii="宋体" w:eastAsia="宋体" w:hAnsi="宋体" w:cs="宋体" w:hint="eastAsia"/>
                <w:spacing w:val="-3"/>
                <w:sz w:val="21"/>
                <w:szCs w:val="21"/>
                <w:lang w:eastAsia="zh-CN"/>
              </w:rPr>
              <w:t>如不合格，</w:t>
            </w:r>
            <w:r>
              <w:rPr>
                <w:rFonts w:ascii="宋体" w:eastAsia="宋体" w:hAnsi="宋体" w:cs="宋体"/>
                <w:spacing w:val="-3"/>
                <w:sz w:val="21"/>
                <w:szCs w:val="21"/>
                <w:lang w:eastAsia="zh-CN"/>
              </w:rPr>
              <w:t>则应检查</w:t>
            </w:r>
            <w:r>
              <w:rPr>
                <w:rFonts w:ascii="宋体" w:eastAsia="宋体" w:hAnsi="宋体" w:cs="宋体"/>
                <w:sz w:val="21"/>
                <w:szCs w:val="21"/>
                <w:lang w:eastAsia="zh-CN"/>
              </w:rPr>
              <w:t xml:space="preserve">在线监测系统，并重新绘制标准曲线。 </w:t>
            </w:r>
            <w:r>
              <w:rPr>
                <w:rFonts w:ascii="宋体" w:eastAsia="宋体" w:hAnsi="宋体" w:cs="宋体"/>
                <w:spacing w:val="-5"/>
                <w:sz w:val="21"/>
                <w:szCs w:val="21"/>
                <w:lang w:eastAsia="zh-CN"/>
              </w:rPr>
              <w:t>保留时间检查：检查保留时间漂移与分离情况，目标化合</w:t>
            </w:r>
            <w:r>
              <w:rPr>
                <w:rFonts w:ascii="宋体" w:eastAsia="宋体" w:hAnsi="宋体" w:cs="宋体"/>
                <w:sz w:val="21"/>
                <w:szCs w:val="21"/>
                <w:lang w:eastAsia="zh-CN"/>
              </w:rPr>
              <w:t>物分离度</w:t>
            </w:r>
            <w:r>
              <w:rPr>
                <w:rFonts w:ascii="Times New Roman" w:eastAsia="Times New Roman" w:hAnsi="Times New Roman" w:cs="Times New Roman"/>
                <w:sz w:val="21"/>
                <w:szCs w:val="21"/>
                <w:lang w:eastAsia="zh-CN"/>
              </w:rPr>
              <w:t>≤1</w:t>
            </w:r>
            <w:r>
              <w:rPr>
                <w:rFonts w:ascii="宋体" w:eastAsia="宋体" w:hAnsi="宋体" w:cs="宋体"/>
                <w:sz w:val="21"/>
                <w:szCs w:val="21"/>
                <w:lang w:eastAsia="zh-CN"/>
              </w:rPr>
              <w:t>。</w:t>
            </w:r>
          </w:p>
          <w:p w:rsidR="00DF7DA6" w:rsidRDefault="00DF7DA6" w:rsidP="00D9343E">
            <w:pPr>
              <w:pStyle w:val="TableParagraph"/>
              <w:spacing w:line="263" w:lineRule="exact"/>
              <w:ind w:left="103" w:firstLineChars="200" w:firstLine="420"/>
              <w:rPr>
                <w:rFonts w:ascii="宋体" w:eastAsia="宋体" w:hAnsi="宋体" w:cs="宋体"/>
                <w:sz w:val="21"/>
                <w:szCs w:val="21"/>
                <w:lang w:eastAsia="zh-CN"/>
              </w:rPr>
            </w:pPr>
            <w:r>
              <w:rPr>
                <w:rFonts w:ascii="宋体" w:eastAsia="宋体" w:hAnsi="宋体" w:cs="宋体"/>
                <w:sz w:val="21"/>
                <w:szCs w:val="21"/>
                <w:lang w:eastAsia="zh-CN"/>
              </w:rPr>
              <w:t>臭氧生成潜</w:t>
            </w:r>
            <w:r>
              <w:rPr>
                <w:rFonts w:ascii="宋体" w:eastAsia="宋体" w:hAnsi="宋体" w:cs="宋体"/>
                <w:spacing w:val="-5"/>
                <w:sz w:val="21"/>
                <w:szCs w:val="21"/>
                <w:lang w:eastAsia="zh-CN"/>
              </w:rPr>
              <w:t>势较高的目标化合物（如苯系物等，间、对二甲苯不包含</w:t>
            </w:r>
            <w:r>
              <w:rPr>
                <w:rFonts w:ascii="宋体" w:eastAsia="宋体" w:hAnsi="宋体" w:cs="宋体"/>
                <w:sz w:val="21"/>
                <w:szCs w:val="21"/>
                <w:lang w:eastAsia="zh-CN"/>
              </w:rPr>
              <w:t>在内）分离度</w:t>
            </w:r>
            <w:r>
              <w:rPr>
                <w:rFonts w:ascii="Times New Roman" w:eastAsia="Times New Roman" w:hAnsi="Times New Roman" w:cs="Times New Roman"/>
                <w:sz w:val="21"/>
                <w:szCs w:val="21"/>
                <w:lang w:eastAsia="zh-CN"/>
              </w:rPr>
              <w:t xml:space="preserve">≤1 </w:t>
            </w:r>
            <w:r>
              <w:rPr>
                <w:rFonts w:ascii="宋体" w:eastAsia="宋体" w:hAnsi="宋体" w:cs="宋体"/>
                <w:sz w:val="21"/>
                <w:szCs w:val="21"/>
                <w:lang w:eastAsia="zh-CN"/>
              </w:rPr>
              <w:t>时，应考虑检查系统，重新设置色谱方法或者更换色谱柱后重新绘制标准曲线。</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122" w:right="123" w:firstLine="105"/>
              <w:jc w:val="center"/>
              <w:rPr>
                <w:rFonts w:ascii="宋体" w:eastAsia="宋体" w:hAnsi="宋体" w:cs="宋体"/>
                <w:sz w:val="21"/>
                <w:szCs w:val="21"/>
                <w:lang w:eastAsia="zh-CN"/>
              </w:rPr>
            </w:pPr>
            <w:r>
              <w:rPr>
                <w:rFonts w:ascii="宋体" w:eastAsia="宋体" w:hAnsi="宋体" w:cs="宋体"/>
                <w:sz w:val="21"/>
                <w:szCs w:val="21"/>
                <w:lang w:eastAsia="zh-CN"/>
              </w:rPr>
              <w:t>每周一次</w:t>
            </w:r>
          </w:p>
          <w:p w:rsidR="00DF7DA6" w:rsidRDefault="00DF7DA6" w:rsidP="00D9343E">
            <w:pPr>
              <w:pStyle w:val="TableParagraph"/>
              <w:spacing w:line="273" w:lineRule="auto"/>
              <w:ind w:left="122" w:right="123" w:firstLine="105"/>
              <w:jc w:val="center"/>
              <w:rPr>
                <w:rFonts w:ascii="宋体" w:eastAsia="宋体" w:hAnsi="宋体" w:cs="宋体"/>
                <w:sz w:val="21"/>
                <w:szCs w:val="21"/>
                <w:lang w:eastAsia="zh-CN"/>
              </w:rPr>
            </w:pPr>
            <w:r>
              <w:rPr>
                <w:rFonts w:ascii="宋体" w:eastAsia="宋体" w:hAnsi="宋体" w:cs="宋体"/>
                <w:spacing w:val="-1"/>
                <w:sz w:val="21"/>
                <w:szCs w:val="21"/>
                <w:lang w:eastAsia="zh-CN"/>
              </w:rPr>
              <w:t>空白检查后</w:t>
            </w:r>
          </w:p>
        </w:tc>
      </w:tr>
      <w:tr w:rsidR="00DF7DA6" w:rsidTr="00D9343E">
        <w:trPr>
          <w:trHeight w:hRule="exact" w:val="636"/>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Pr="004B6D5F" w:rsidRDefault="00DF7DA6" w:rsidP="00D9343E">
            <w:pPr>
              <w:pStyle w:val="TableParagraph"/>
              <w:spacing w:line="273" w:lineRule="auto"/>
              <w:ind w:left="590" w:right="165" w:hanging="420"/>
              <w:jc w:val="center"/>
              <w:rPr>
                <w:rFonts w:ascii="宋体" w:eastAsia="宋体" w:hAnsi="宋体" w:cs="宋体"/>
                <w:spacing w:val="-1"/>
                <w:sz w:val="21"/>
                <w:szCs w:val="21"/>
              </w:rPr>
            </w:pPr>
            <w:r w:rsidRPr="004B6D5F">
              <w:rPr>
                <w:rFonts w:ascii="宋体" w:eastAsia="宋体" w:hAnsi="宋体" w:cs="宋体"/>
                <w:spacing w:val="-1"/>
                <w:sz w:val="21"/>
                <w:szCs w:val="21"/>
              </w:rPr>
              <w:t>流量检查</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81" w:lineRule="exact"/>
              <w:ind w:left="103" w:firstLineChars="200" w:firstLine="404"/>
              <w:rPr>
                <w:rFonts w:ascii="宋体" w:eastAsia="宋体" w:hAnsi="宋体" w:cs="宋体"/>
                <w:sz w:val="21"/>
                <w:szCs w:val="21"/>
                <w:lang w:eastAsia="zh-CN"/>
              </w:rPr>
            </w:pPr>
            <w:r>
              <w:rPr>
                <w:rFonts w:ascii="宋体" w:eastAsia="宋体" w:hAnsi="宋体" w:cs="宋体"/>
                <w:spacing w:val="-4"/>
                <w:sz w:val="21"/>
                <w:szCs w:val="21"/>
                <w:lang w:eastAsia="zh-CN"/>
              </w:rPr>
              <w:t>采样流量示值与标准流量计示值的相对偏差应</w:t>
            </w:r>
            <w:r>
              <w:rPr>
                <w:rFonts w:ascii="Times New Roman" w:eastAsia="Times New Roman" w:hAnsi="Times New Roman" w:cs="Times New Roman"/>
                <w:spacing w:val="-4"/>
                <w:sz w:val="21"/>
                <w:szCs w:val="21"/>
                <w:lang w:eastAsia="zh-CN"/>
              </w:rPr>
              <w:t>≤5%</w:t>
            </w:r>
            <w:r>
              <w:rPr>
                <w:rFonts w:ascii="宋体" w:eastAsia="宋体" w:hAnsi="宋体" w:cs="宋体"/>
                <w:spacing w:val="-4"/>
                <w:sz w:val="21"/>
                <w:szCs w:val="21"/>
                <w:lang w:eastAsia="zh-CN"/>
              </w:rPr>
              <w:t>。大于</w:t>
            </w:r>
          </w:p>
          <w:p w:rsidR="00DF7DA6" w:rsidRDefault="00DF7DA6" w:rsidP="00D9343E">
            <w:pPr>
              <w:pStyle w:val="TableParagraph"/>
              <w:spacing w:before="21"/>
              <w:ind w:left="103"/>
              <w:rPr>
                <w:rFonts w:ascii="宋体" w:eastAsia="宋体" w:hAnsi="宋体" w:cs="宋体"/>
                <w:sz w:val="21"/>
                <w:szCs w:val="21"/>
                <w:lang w:eastAsia="zh-CN"/>
              </w:rPr>
            </w:pPr>
            <w:r>
              <w:rPr>
                <w:rFonts w:ascii="Times New Roman" w:eastAsia="Times New Roman" w:hAnsi="Times New Roman" w:cs="Times New Roman"/>
                <w:sz w:val="21"/>
                <w:szCs w:val="21"/>
                <w:lang w:eastAsia="zh-CN"/>
              </w:rPr>
              <w:t>5%</w:t>
            </w:r>
            <w:r>
              <w:rPr>
                <w:rFonts w:ascii="宋体" w:eastAsia="宋体" w:hAnsi="宋体" w:cs="宋体"/>
                <w:sz w:val="21"/>
                <w:szCs w:val="21"/>
                <w:lang w:eastAsia="zh-CN"/>
              </w:rPr>
              <w:t>时应对期间数据进行复核。</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122" w:right="123"/>
              <w:jc w:val="center"/>
              <w:rPr>
                <w:rFonts w:ascii="宋体" w:eastAsia="宋体" w:hAnsi="宋体" w:cs="宋体"/>
                <w:sz w:val="21"/>
                <w:szCs w:val="21"/>
                <w:lang w:eastAsia="zh-CN"/>
              </w:rPr>
            </w:pPr>
            <w:r>
              <w:rPr>
                <w:rFonts w:ascii="宋体" w:eastAsia="宋体" w:hAnsi="宋体" w:cs="宋体"/>
                <w:spacing w:val="-1"/>
                <w:sz w:val="21"/>
                <w:szCs w:val="21"/>
                <w:lang w:eastAsia="zh-CN"/>
              </w:rPr>
              <w:t>每月一次</w:t>
            </w:r>
          </w:p>
          <w:p w:rsidR="00DF7DA6" w:rsidRDefault="00DF7DA6" w:rsidP="00D9343E">
            <w:pPr>
              <w:pStyle w:val="TableParagraph"/>
              <w:spacing w:line="273" w:lineRule="auto"/>
              <w:ind w:left="122" w:right="123"/>
              <w:jc w:val="center"/>
              <w:rPr>
                <w:rFonts w:ascii="宋体" w:eastAsia="宋体" w:hAnsi="宋体" w:cs="宋体"/>
                <w:sz w:val="21"/>
                <w:szCs w:val="21"/>
                <w:lang w:eastAsia="zh-CN"/>
              </w:rPr>
            </w:pPr>
            <w:r>
              <w:rPr>
                <w:rFonts w:ascii="宋体" w:eastAsia="宋体" w:hAnsi="宋体" w:cs="宋体"/>
                <w:spacing w:val="-1"/>
                <w:sz w:val="21"/>
                <w:szCs w:val="21"/>
                <w:lang w:eastAsia="zh-CN"/>
              </w:rPr>
              <w:t>或绘标准曲线前</w:t>
            </w:r>
          </w:p>
        </w:tc>
      </w:tr>
      <w:tr w:rsidR="00DF7DA6" w:rsidTr="00D9343E">
        <w:trPr>
          <w:trHeight w:hRule="exact" w:val="946"/>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Pr="004B6D5F" w:rsidRDefault="00DF7DA6" w:rsidP="00D9343E">
            <w:pPr>
              <w:pStyle w:val="TableParagraph"/>
              <w:spacing w:line="273" w:lineRule="auto"/>
              <w:ind w:left="590" w:right="165" w:hanging="420"/>
              <w:jc w:val="center"/>
              <w:rPr>
                <w:rFonts w:ascii="宋体" w:eastAsia="宋体" w:hAnsi="宋体" w:cs="宋体"/>
                <w:spacing w:val="-1"/>
                <w:sz w:val="21"/>
                <w:szCs w:val="21"/>
              </w:rPr>
            </w:pPr>
            <w:r w:rsidRPr="004B6D5F">
              <w:rPr>
                <w:rFonts w:ascii="宋体" w:eastAsia="宋体" w:hAnsi="宋体" w:cs="宋体"/>
                <w:spacing w:val="-1"/>
                <w:sz w:val="21"/>
                <w:szCs w:val="21"/>
              </w:rPr>
              <w:t>验漏检查</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103" w:right="96" w:firstLineChars="200" w:firstLine="400"/>
              <w:rPr>
                <w:rFonts w:ascii="宋体" w:eastAsia="宋体" w:hAnsi="宋体" w:cs="宋体"/>
                <w:sz w:val="21"/>
                <w:szCs w:val="21"/>
                <w:lang w:eastAsia="zh-CN"/>
              </w:rPr>
            </w:pPr>
            <w:r>
              <w:rPr>
                <w:rFonts w:ascii="宋体" w:eastAsia="宋体" w:hAnsi="宋体" w:cs="宋体"/>
                <w:spacing w:val="-5"/>
                <w:sz w:val="21"/>
                <w:szCs w:val="21"/>
                <w:lang w:eastAsia="zh-CN"/>
              </w:rPr>
              <w:t xml:space="preserve">每周系统状态检查时核查系统气密性，每三个月应按在线 监测系统说明书的要求对在线监测系统进行验漏检查，具 </w:t>
            </w:r>
            <w:r>
              <w:rPr>
                <w:rFonts w:ascii="宋体" w:eastAsia="宋体" w:hAnsi="宋体" w:cs="宋体"/>
                <w:sz w:val="21"/>
                <w:szCs w:val="21"/>
                <w:lang w:eastAsia="zh-CN"/>
              </w:rPr>
              <w:t>体操作与合格标准参考说明书。</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jc w:val="center"/>
              <w:rPr>
                <w:rFonts w:ascii="宋体" w:eastAsia="宋体" w:hAnsi="宋体" w:cs="宋体"/>
                <w:sz w:val="21"/>
                <w:szCs w:val="21"/>
              </w:rPr>
            </w:pPr>
            <w:r>
              <w:rPr>
                <w:rFonts w:ascii="宋体" w:eastAsia="宋体" w:hAnsi="宋体" w:cs="宋体"/>
                <w:sz w:val="21"/>
                <w:szCs w:val="21"/>
              </w:rPr>
              <w:t>每</w:t>
            </w:r>
            <w:r>
              <w:rPr>
                <w:rFonts w:ascii="宋体" w:eastAsia="宋体" w:hAnsi="宋体" w:cs="宋体" w:hint="eastAsia"/>
                <w:sz w:val="21"/>
                <w:szCs w:val="21"/>
                <w:lang w:eastAsia="zh-CN"/>
              </w:rPr>
              <w:t>季度</w:t>
            </w:r>
            <w:r>
              <w:rPr>
                <w:rFonts w:ascii="宋体" w:eastAsia="宋体" w:hAnsi="宋体" w:cs="宋体"/>
                <w:sz w:val="21"/>
                <w:szCs w:val="21"/>
              </w:rPr>
              <w:t>一次</w:t>
            </w:r>
          </w:p>
        </w:tc>
      </w:tr>
      <w:tr w:rsidR="00DF7DA6" w:rsidTr="00D9343E">
        <w:trPr>
          <w:trHeight w:hRule="exact" w:val="946"/>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Pr="004B6D5F" w:rsidRDefault="00DF7DA6" w:rsidP="00D9343E">
            <w:pPr>
              <w:pStyle w:val="TableParagraph"/>
              <w:spacing w:line="273" w:lineRule="auto"/>
              <w:ind w:left="182" w:right="165"/>
              <w:jc w:val="center"/>
              <w:rPr>
                <w:rFonts w:ascii="宋体" w:eastAsia="宋体" w:hAnsi="宋体" w:cs="宋体"/>
                <w:spacing w:val="-1"/>
                <w:sz w:val="21"/>
                <w:szCs w:val="21"/>
              </w:rPr>
            </w:pPr>
            <w:r w:rsidRPr="004B6D5F">
              <w:rPr>
                <w:rFonts w:ascii="宋体" w:eastAsia="宋体" w:hAnsi="宋体" w:cs="宋体"/>
                <w:spacing w:val="-1"/>
                <w:sz w:val="21"/>
                <w:szCs w:val="21"/>
              </w:rPr>
              <w:t>标准曲线绘制</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Pr="00B71708" w:rsidRDefault="00DF7DA6" w:rsidP="00D9343E">
            <w:pPr>
              <w:pStyle w:val="TableParagraph"/>
              <w:spacing w:line="256" w:lineRule="auto"/>
              <w:ind w:left="103" w:right="96" w:firstLineChars="200" w:firstLine="400"/>
              <w:rPr>
                <w:rFonts w:ascii="宋体" w:eastAsia="宋体" w:hAnsi="宋体" w:cs="宋体"/>
                <w:spacing w:val="-5"/>
                <w:sz w:val="21"/>
                <w:szCs w:val="21"/>
                <w:lang w:eastAsia="zh-CN"/>
              </w:rPr>
            </w:pPr>
            <w:r>
              <w:rPr>
                <w:rFonts w:ascii="宋体" w:eastAsia="宋体" w:hAnsi="宋体" w:cs="宋体"/>
                <w:spacing w:val="-5"/>
                <w:sz w:val="21"/>
                <w:szCs w:val="21"/>
                <w:lang w:eastAsia="zh-CN"/>
              </w:rPr>
              <w:t xml:space="preserve">由低到高依次通入标气建立多点标准曲线，曲线含 </w:t>
            </w:r>
            <w:r w:rsidRPr="00B71708">
              <w:rPr>
                <w:rFonts w:ascii="宋体" w:eastAsia="宋体" w:hAnsi="宋体" w:cs="宋体"/>
                <w:spacing w:val="-5"/>
                <w:sz w:val="21"/>
                <w:szCs w:val="21"/>
                <w:lang w:eastAsia="zh-CN"/>
              </w:rPr>
              <w:t>5点并强制过零。各组分线性相关系数 R≥0.99，决定系数 R</w:t>
            </w:r>
            <w:r w:rsidRPr="00BD7CB3">
              <w:rPr>
                <w:rFonts w:ascii="宋体" w:eastAsia="宋体" w:hAnsi="宋体" w:cs="宋体"/>
                <w:spacing w:val="-5"/>
                <w:sz w:val="21"/>
                <w:szCs w:val="21"/>
                <w:vertAlign w:val="superscript"/>
                <w:lang w:eastAsia="zh-CN"/>
              </w:rPr>
              <w:t>2</w:t>
            </w:r>
            <w:r w:rsidRPr="00B71708">
              <w:rPr>
                <w:rFonts w:ascii="宋体" w:eastAsia="宋体" w:hAnsi="宋体" w:cs="宋体"/>
                <w:spacing w:val="-5"/>
                <w:sz w:val="21"/>
                <w:szCs w:val="21"/>
                <w:lang w:eastAsia="zh-CN"/>
              </w:rPr>
              <w:t>≥ 0.98。</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648" w:right="123" w:hanging="527"/>
              <w:jc w:val="center"/>
              <w:rPr>
                <w:rFonts w:ascii="宋体" w:eastAsia="宋体" w:hAnsi="宋体" w:cs="宋体"/>
                <w:sz w:val="21"/>
                <w:szCs w:val="21"/>
              </w:rPr>
            </w:pPr>
            <w:r>
              <w:rPr>
                <w:rFonts w:ascii="宋体" w:eastAsia="宋体" w:hAnsi="宋体" w:cs="宋体"/>
                <w:sz w:val="21"/>
                <w:szCs w:val="21"/>
              </w:rPr>
              <w:t>每</w:t>
            </w:r>
            <w:r>
              <w:rPr>
                <w:rFonts w:ascii="宋体" w:eastAsia="宋体" w:hAnsi="宋体" w:cs="宋体" w:hint="eastAsia"/>
                <w:sz w:val="21"/>
                <w:szCs w:val="21"/>
                <w:lang w:eastAsia="zh-CN"/>
              </w:rPr>
              <w:t>季度</w:t>
            </w:r>
            <w:r>
              <w:rPr>
                <w:rFonts w:ascii="宋体" w:eastAsia="宋体" w:hAnsi="宋体" w:cs="宋体"/>
                <w:sz w:val="21"/>
                <w:szCs w:val="21"/>
              </w:rPr>
              <w:t>一次</w:t>
            </w:r>
          </w:p>
        </w:tc>
      </w:tr>
      <w:tr w:rsidR="00DF7DA6" w:rsidTr="00D9343E">
        <w:trPr>
          <w:trHeight w:hRule="exact" w:val="2098"/>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Pr="004B6D5F" w:rsidRDefault="00DF7DA6" w:rsidP="00D9343E">
            <w:pPr>
              <w:pStyle w:val="TableParagraph"/>
              <w:spacing w:line="273" w:lineRule="auto"/>
              <w:ind w:left="182" w:right="165"/>
              <w:jc w:val="center"/>
              <w:rPr>
                <w:rFonts w:ascii="宋体" w:eastAsia="宋体" w:hAnsi="宋体" w:cs="宋体"/>
                <w:spacing w:val="-1"/>
                <w:sz w:val="21"/>
                <w:szCs w:val="21"/>
              </w:rPr>
            </w:pPr>
            <w:r w:rsidRPr="004B6D5F">
              <w:rPr>
                <w:rFonts w:ascii="宋体" w:eastAsia="宋体" w:hAnsi="宋体" w:cs="宋体" w:hint="eastAsia"/>
                <w:spacing w:val="-1"/>
                <w:sz w:val="21"/>
                <w:szCs w:val="21"/>
              </w:rPr>
              <w:lastRenderedPageBreak/>
              <w:t>稀释装置核查</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Pr="00B71708" w:rsidRDefault="00DF7DA6" w:rsidP="00D9343E">
            <w:pPr>
              <w:pStyle w:val="TableParagraph"/>
              <w:spacing w:line="256" w:lineRule="auto"/>
              <w:ind w:left="103" w:right="96" w:firstLineChars="200" w:firstLine="400"/>
              <w:rPr>
                <w:rFonts w:ascii="宋体" w:eastAsia="宋体" w:hAnsi="宋体" w:cs="宋体"/>
                <w:spacing w:val="-5"/>
                <w:sz w:val="21"/>
                <w:szCs w:val="21"/>
                <w:lang w:eastAsia="zh-CN"/>
              </w:rPr>
            </w:pPr>
            <w:r w:rsidRPr="00B71708">
              <w:rPr>
                <w:rFonts w:ascii="宋体" w:eastAsia="宋体" w:hAnsi="宋体" w:cs="宋体"/>
                <w:spacing w:val="-5"/>
                <w:sz w:val="21"/>
                <w:szCs w:val="21"/>
                <w:lang w:eastAsia="zh-CN"/>
              </w:rPr>
              <w:t>使用压力比进行稀释的装置应按照各厂家说明书的要求定期使用在计量认证有效期内的标准气压计对压力进行核查。</w:t>
            </w:r>
          </w:p>
          <w:p w:rsidR="00DF7DA6" w:rsidRPr="00B71708" w:rsidRDefault="00DF7DA6" w:rsidP="00D9343E">
            <w:pPr>
              <w:pStyle w:val="TableParagraph"/>
              <w:spacing w:line="256" w:lineRule="auto"/>
              <w:ind w:left="103" w:right="96" w:firstLineChars="200" w:firstLine="400"/>
              <w:rPr>
                <w:rFonts w:ascii="宋体" w:eastAsia="宋体" w:hAnsi="宋体" w:cs="宋体"/>
                <w:spacing w:val="-5"/>
                <w:sz w:val="21"/>
                <w:szCs w:val="21"/>
                <w:lang w:eastAsia="zh-CN"/>
              </w:rPr>
            </w:pPr>
            <w:r w:rsidRPr="00B71708">
              <w:rPr>
                <w:rFonts w:ascii="宋体" w:eastAsia="宋体" w:hAnsi="宋体" w:cs="宋体"/>
                <w:spacing w:val="-5"/>
                <w:sz w:val="21"/>
                <w:szCs w:val="21"/>
                <w:lang w:eastAsia="zh-CN"/>
              </w:rPr>
              <w:t>使用流量比进行动态稀释的装置可使用在计量认证有效期内的标准流量计对其内部各流量计或流量控制装置进行流量传递，流量传递应注意流量计的输出状态，使用标准压力和和标准温度计换算成同等状态进行核查和校准。</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73" w:lineRule="auto"/>
              <w:ind w:left="648" w:right="123" w:hanging="527"/>
              <w:jc w:val="center"/>
              <w:rPr>
                <w:rFonts w:ascii="宋体" w:eastAsia="宋体" w:hAnsi="宋体" w:cs="宋体"/>
                <w:sz w:val="21"/>
                <w:szCs w:val="21"/>
              </w:rPr>
            </w:pPr>
            <w:r>
              <w:rPr>
                <w:rFonts w:ascii="宋体" w:eastAsia="宋体" w:hAnsi="宋体" w:cs="宋体"/>
                <w:sz w:val="21"/>
                <w:szCs w:val="21"/>
              </w:rPr>
              <w:t>每</w:t>
            </w:r>
            <w:r>
              <w:rPr>
                <w:rFonts w:ascii="宋体" w:eastAsia="宋体" w:hAnsi="宋体" w:cs="宋体" w:hint="eastAsia"/>
                <w:sz w:val="21"/>
                <w:szCs w:val="21"/>
                <w:lang w:eastAsia="zh-CN"/>
              </w:rPr>
              <w:t>季度</w:t>
            </w:r>
            <w:r>
              <w:rPr>
                <w:rFonts w:ascii="宋体" w:eastAsia="宋体" w:hAnsi="宋体" w:cs="宋体"/>
                <w:sz w:val="21"/>
                <w:szCs w:val="21"/>
              </w:rPr>
              <w:t>一次</w:t>
            </w:r>
          </w:p>
        </w:tc>
      </w:tr>
      <w:tr w:rsidR="00DF7DA6" w:rsidTr="00D9343E">
        <w:trPr>
          <w:trHeight w:hRule="exact" w:val="990"/>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Pr="004B6D5F" w:rsidRDefault="00DF7DA6" w:rsidP="00D9343E">
            <w:pPr>
              <w:pStyle w:val="TableParagraph"/>
              <w:spacing w:line="273" w:lineRule="auto"/>
              <w:ind w:left="182" w:right="165"/>
              <w:jc w:val="center"/>
              <w:rPr>
                <w:rFonts w:ascii="宋体" w:eastAsia="宋体" w:hAnsi="宋体" w:cs="宋体"/>
                <w:spacing w:val="-1"/>
                <w:sz w:val="21"/>
                <w:szCs w:val="21"/>
              </w:rPr>
            </w:pPr>
            <w:r w:rsidRPr="004B6D5F">
              <w:rPr>
                <w:rFonts w:ascii="宋体" w:eastAsia="宋体" w:hAnsi="宋体" w:cs="宋体"/>
                <w:spacing w:val="-1"/>
                <w:sz w:val="21"/>
                <w:szCs w:val="21"/>
              </w:rPr>
              <w:t>目标化合物 测试</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Pr="00B71708" w:rsidRDefault="00DF7DA6" w:rsidP="00D9343E">
            <w:pPr>
              <w:pStyle w:val="TableParagraph"/>
              <w:spacing w:line="273" w:lineRule="auto"/>
              <w:ind w:left="103" w:right="-8"/>
              <w:rPr>
                <w:rFonts w:ascii="宋体" w:eastAsia="宋体" w:hAnsi="宋体" w:cs="宋体"/>
                <w:spacing w:val="-9"/>
                <w:sz w:val="21"/>
                <w:szCs w:val="21"/>
                <w:lang w:eastAsia="zh-CN"/>
              </w:rPr>
            </w:pPr>
            <w:r w:rsidRPr="00B71708">
              <w:rPr>
                <w:rFonts w:ascii="宋体" w:eastAsia="宋体" w:hAnsi="宋体" w:cs="宋体"/>
                <w:spacing w:val="-9"/>
                <w:sz w:val="21"/>
                <w:szCs w:val="21"/>
                <w:lang w:eastAsia="zh-CN"/>
              </w:rPr>
              <w:t>目标化合物名录测试考核指标主要包括多点曲线、检出限</w:t>
            </w:r>
            <w:r>
              <w:rPr>
                <w:rFonts w:ascii="宋体" w:eastAsia="宋体" w:hAnsi="宋体" w:cs="宋体"/>
                <w:spacing w:val="-9"/>
                <w:sz w:val="21"/>
                <w:szCs w:val="21"/>
                <w:lang w:eastAsia="zh-CN"/>
              </w:rPr>
              <w:t xml:space="preserve">和测定下限、分离度、空白检查、期间精密度和准确度等。 </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jc w:val="center"/>
              <w:rPr>
                <w:rFonts w:ascii="宋体" w:eastAsia="宋体" w:hAnsi="宋体" w:cs="宋体"/>
                <w:sz w:val="21"/>
                <w:szCs w:val="21"/>
              </w:rPr>
            </w:pPr>
            <w:r>
              <w:rPr>
                <w:rFonts w:ascii="宋体" w:eastAsia="宋体" w:hAnsi="宋体" w:cs="宋体"/>
                <w:sz w:val="21"/>
                <w:szCs w:val="21"/>
              </w:rPr>
              <w:t>每年一次</w:t>
            </w:r>
          </w:p>
        </w:tc>
      </w:tr>
      <w:tr w:rsidR="00DF7DA6" w:rsidTr="00D9343E">
        <w:trPr>
          <w:trHeight w:hRule="exact" w:val="1258"/>
        </w:trPr>
        <w:tc>
          <w:tcPr>
            <w:tcW w:w="1402" w:type="dxa"/>
            <w:tcBorders>
              <w:top w:val="single" w:sz="4" w:space="0" w:color="000000"/>
              <w:left w:val="single" w:sz="4" w:space="0" w:color="000000"/>
              <w:bottom w:val="single" w:sz="4" w:space="0" w:color="000000"/>
              <w:right w:val="single" w:sz="4" w:space="0" w:color="000000"/>
            </w:tcBorders>
            <w:vAlign w:val="center"/>
          </w:tcPr>
          <w:p w:rsidR="00DF7DA6" w:rsidRPr="004B6D5F" w:rsidRDefault="00DF7DA6" w:rsidP="00D9343E">
            <w:pPr>
              <w:pStyle w:val="TableParagraph"/>
              <w:spacing w:line="273" w:lineRule="auto"/>
              <w:ind w:left="182" w:right="165"/>
              <w:jc w:val="center"/>
              <w:rPr>
                <w:rFonts w:ascii="宋体" w:eastAsia="宋体" w:hAnsi="宋体" w:cs="宋体"/>
                <w:spacing w:val="-1"/>
                <w:sz w:val="21"/>
                <w:szCs w:val="21"/>
                <w:lang w:eastAsia="zh-CN"/>
              </w:rPr>
            </w:pPr>
            <w:r>
              <w:rPr>
                <w:rFonts w:ascii="宋体" w:eastAsia="宋体" w:hAnsi="宋体" w:cs="宋体" w:hint="eastAsia"/>
                <w:spacing w:val="-1"/>
                <w:sz w:val="21"/>
                <w:szCs w:val="21"/>
                <w:lang w:eastAsia="zh-CN"/>
              </w:rPr>
              <w:t>标准流量计的检定或校准</w:t>
            </w:r>
          </w:p>
        </w:tc>
        <w:tc>
          <w:tcPr>
            <w:tcW w:w="5584" w:type="dxa"/>
            <w:tcBorders>
              <w:top w:val="single" w:sz="4" w:space="0" w:color="000000"/>
              <w:left w:val="single" w:sz="4" w:space="0" w:color="000000"/>
              <w:bottom w:val="single" w:sz="4" w:space="0" w:color="000000"/>
              <w:right w:val="single" w:sz="4" w:space="0" w:color="000000"/>
            </w:tcBorders>
            <w:vAlign w:val="center"/>
          </w:tcPr>
          <w:p w:rsidR="00DF7DA6" w:rsidRPr="00B71708" w:rsidRDefault="00DF7DA6" w:rsidP="00D9343E">
            <w:pPr>
              <w:pStyle w:val="TableParagraph"/>
              <w:spacing w:line="273" w:lineRule="auto"/>
              <w:ind w:left="103" w:right="-8"/>
              <w:rPr>
                <w:rFonts w:ascii="宋体" w:eastAsia="宋体" w:hAnsi="宋体" w:cs="宋体"/>
                <w:spacing w:val="-9"/>
                <w:sz w:val="21"/>
                <w:szCs w:val="21"/>
                <w:lang w:eastAsia="zh-CN"/>
              </w:rPr>
            </w:pPr>
            <w:r w:rsidRPr="00B71708">
              <w:rPr>
                <w:rFonts w:ascii="宋体" w:eastAsia="宋体" w:hAnsi="宋体" w:cs="宋体"/>
                <w:spacing w:val="-9"/>
                <w:sz w:val="21"/>
                <w:szCs w:val="21"/>
                <w:lang w:eastAsia="zh-CN"/>
              </w:rPr>
              <w:t>流量计应采用计量检定、计量校准等形式进行量值溯源，进行溯源的气体流量点应在其日常应用的流量范围内。流量计示值与标准流量值的相对误差应≤±1%，如超过±1%，应对其示值进行修正。</w:t>
            </w:r>
          </w:p>
        </w:tc>
        <w:tc>
          <w:tcPr>
            <w:tcW w:w="1731" w:type="dxa"/>
            <w:tcBorders>
              <w:top w:val="single" w:sz="4" w:space="0" w:color="000000"/>
              <w:left w:val="single" w:sz="4" w:space="0" w:color="000000"/>
              <w:bottom w:val="single" w:sz="4" w:space="0" w:color="000000"/>
              <w:right w:val="single" w:sz="4" w:space="0" w:color="000000"/>
            </w:tcBorders>
            <w:vAlign w:val="center"/>
          </w:tcPr>
          <w:p w:rsidR="00DF7DA6" w:rsidRDefault="00DF7DA6" w:rsidP="00D9343E">
            <w:pPr>
              <w:pStyle w:val="TableParagraph"/>
              <w:spacing w:line="262" w:lineRule="exact"/>
              <w:jc w:val="center"/>
              <w:rPr>
                <w:rFonts w:ascii="宋体" w:eastAsia="宋体" w:hAnsi="宋体" w:cs="宋体"/>
                <w:sz w:val="21"/>
                <w:szCs w:val="21"/>
              </w:rPr>
            </w:pPr>
            <w:r>
              <w:rPr>
                <w:rFonts w:ascii="宋体" w:eastAsia="宋体" w:hAnsi="宋体" w:cs="宋体"/>
                <w:sz w:val="21"/>
                <w:szCs w:val="21"/>
              </w:rPr>
              <w:t>每年一次</w:t>
            </w:r>
          </w:p>
        </w:tc>
      </w:tr>
    </w:tbl>
    <w:p w:rsidR="00DF7DA6" w:rsidRPr="00DF7DA6" w:rsidRDefault="00DF7DA6"/>
    <w:sectPr w:rsidR="00DF7DA6" w:rsidRPr="00DF7DA6" w:rsidSect="001C38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0D" w:rsidRDefault="00977D0D" w:rsidP="00DF7DA6">
      <w:r>
        <w:separator/>
      </w:r>
    </w:p>
  </w:endnote>
  <w:endnote w:type="continuationSeparator" w:id="0">
    <w:p w:rsidR="00977D0D" w:rsidRDefault="00977D0D" w:rsidP="00DF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0D" w:rsidRDefault="00977D0D" w:rsidP="00DF7DA6">
      <w:r>
        <w:separator/>
      </w:r>
    </w:p>
  </w:footnote>
  <w:footnote w:type="continuationSeparator" w:id="0">
    <w:p w:rsidR="00977D0D" w:rsidRDefault="00977D0D" w:rsidP="00DF7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72B4A"/>
    <w:multiLevelType w:val="hybridMultilevel"/>
    <w:tmpl w:val="EDDE2478"/>
    <w:lvl w:ilvl="0" w:tplc="CFB26D34">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DA6"/>
    <w:rsid w:val="00105063"/>
    <w:rsid w:val="001C38BF"/>
    <w:rsid w:val="001F592B"/>
    <w:rsid w:val="0057281F"/>
    <w:rsid w:val="005926A9"/>
    <w:rsid w:val="008D5DB6"/>
    <w:rsid w:val="009645A1"/>
    <w:rsid w:val="00977D0D"/>
    <w:rsid w:val="00997174"/>
    <w:rsid w:val="00B479CD"/>
    <w:rsid w:val="00DE7955"/>
    <w:rsid w:val="00DF7DA6"/>
    <w:rsid w:val="00E50938"/>
    <w:rsid w:val="00E96CBB"/>
    <w:rsid w:val="00ED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20C1B-AF22-43A6-BD20-343C1281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7DA6"/>
    <w:rPr>
      <w:sz w:val="18"/>
      <w:szCs w:val="18"/>
    </w:rPr>
  </w:style>
  <w:style w:type="paragraph" w:styleId="a4">
    <w:name w:val="footer"/>
    <w:basedOn w:val="a"/>
    <w:link w:val="Char0"/>
    <w:uiPriority w:val="99"/>
    <w:semiHidden/>
    <w:unhideWhenUsed/>
    <w:rsid w:val="00DF7D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7DA6"/>
    <w:rPr>
      <w:sz w:val="18"/>
      <w:szCs w:val="18"/>
    </w:rPr>
  </w:style>
  <w:style w:type="paragraph" w:styleId="a5">
    <w:name w:val="Body Text"/>
    <w:basedOn w:val="a"/>
    <w:link w:val="Char1"/>
    <w:uiPriority w:val="1"/>
    <w:qFormat/>
    <w:rsid w:val="00DF7DA6"/>
    <w:pPr>
      <w:ind w:left="120" w:firstLine="559"/>
      <w:jc w:val="left"/>
    </w:pPr>
    <w:rPr>
      <w:rFonts w:ascii="宋体" w:eastAsia="宋体" w:hAnsi="宋体"/>
      <w:kern w:val="0"/>
      <w:sz w:val="28"/>
      <w:szCs w:val="28"/>
      <w:lang w:eastAsia="en-US"/>
    </w:rPr>
  </w:style>
  <w:style w:type="character" w:customStyle="1" w:styleId="Char1">
    <w:name w:val="正文文本 Char"/>
    <w:basedOn w:val="a0"/>
    <w:link w:val="a5"/>
    <w:uiPriority w:val="1"/>
    <w:qFormat/>
    <w:rsid w:val="00DF7DA6"/>
    <w:rPr>
      <w:rFonts w:ascii="宋体" w:eastAsia="宋体" w:hAnsi="宋体"/>
      <w:kern w:val="0"/>
      <w:sz w:val="28"/>
      <w:szCs w:val="28"/>
      <w:lang w:eastAsia="en-US"/>
    </w:rPr>
  </w:style>
  <w:style w:type="table" w:customStyle="1" w:styleId="TableNormal">
    <w:name w:val="Table Normal"/>
    <w:uiPriority w:val="2"/>
    <w:semiHidden/>
    <w:unhideWhenUsed/>
    <w:qFormat/>
    <w:rsid w:val="00DF7DA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7DA6"/>
    <w:pPr>
      <w:jc w:val="left"/>
    </w:pPr>
    <w:rPr>
      <w:kern w:val="0"/>
      <w:sz w:val="22"/>
      <w:lang w:eastAsia="en-US"/>
    </w:rPr>
  </w:style>
  <w:style w:type="paragraph" w:styleId="a6">
    <w:name w:val="Normal (Web)"/>
    <w:basedOn w:val="a"/>
    <w:rsid w:val="00ED315C"/>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hsc</cp:lastModifiedBy>
  <cp:revision>6</cp:revision>
  <dcterms:created xsi:type="dcterms:W3CDTF">2021-08-09T09:09:00Z</dcterms:created>
  <dcterms:modified xsi:type="dcterms:W3CDTF">2021-08-10T04:22:00Z</dcterms:modified>
</cp:coreProperties>
</file>