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color w:val="333333"/>
          <w:sz w:val="32"/>
          <w:szCs w:val="32"/>
          <w:shd w:val="clear" w:color="auto" w:fill="FFFFFF"/>
        </w:rPr>
      </w:pPr>
      <w:bookmarkStart w:id="0" w:name="_GoBack"/>
      <w:bookmarkEnd w:id="0"/>
      <w:r>
        <w:rPr>
          <w:rFonts w:hint="eastAsia" w:ascii="仿宋_GB2312" w:eastAsia="仿宋_GB2312"/>
          <w:color w:val="333333"/>
          <w:sz w:val="32"/>
          <w:szCs w:val="32"/>
          <w:shd w:val="clear" w:color="auto" w:fill="FFFFFF"/>
        </w:rPr>
        <w:t>附件1</w:t>
      </w:r>
    </w:p>
    <w:p>
      <w:pPr>
        <w:spacing w:line="240" w:lineRule="auto"/>
        <w:jc w:val="center"/>
        <w:rPr>
          <w:rFonts w:hint="eastAsia" w:ascii="方正小标宋_GBK" w:hAnsi="方正小标宋_GBK" w:eastAsia="方正小标宋_GBK" w:cs="方正小标宋_GBK"/>
          <w:b/>
          <w:bCs/>
          <w:color w:val="333333"/>
          <w:sz w:val="44"/>
          <w:szCs w:val="44"/>
          <w:shd w:val="clear" w:color="auto" w:fill="FFFFFF"/>
        </w:rPr>
      </w:pPr>
      <w:r>
        <w:rPr>
          <w:rFonts w:hint="eastAsia" w:ascii="方正小标宋_GBK" w:hAnsi="方正小标宋_GBK" w:eastAsia="方正小标宋_GBK" w:cs="方正小标宋_GBK"/>
          <w:b/>
          <w:bCs/>
          <w:color w:val="333333"/>
          <w:sz w:val="44"/>
          <w:szCs w:val="44"/>
          <w:shd w:val="clear" w:color="auto" w:fill="FFFFFF"/>
        </w:rPr>
        <w:t>项目建设背景及需求</w:t>
      </w:r>
    </w:p>
    <w:p>
      <w:pPr>
        <w:pStyle w:val="8"/>
        <w:rPr>
          <w:rFonts w:hint="eastAsia"/>
        </w:rPr>
      </w:pPr>
    </w:p>
    <w:p>
      <w:pPr>
        <w:ind w:firstLine="643" w:firstLineChars="200"/>
        <w:rPr>
          <w:rFonts w:ascii="仿宋_GB2312" w:eastAsia="仿宋_GB2312"/>
          <w:color w:val="333333"/>
          <w:sz w:val="32"/>
          <w:szCs w:val="32"/>
          <w:shd w:val="clear" w:color="auto" w:fill="FFFFFF"/>
        </w:rPr>
      </w:pPr>
      <w:r>
        <w:rPr>
          <w:rFonts w:hint="eastAsia" w:ascii="仿宋_GB2312" w:eastAsia="仿宋_GB2312"/>
          <w:b/>
          <w:bCs/>
          <w:color w:val="333333"/>
          <w:sz w:val="32"/>
          <w:szCs w:val="32"/>
          <w:shd w:val="clear" w:color="auto" w:fill="FFFFFF"/>
        </w:rPr>
        <w:t>一、项目建设背景及现状</w:t>
      </w:r>
    </w:p>
    <w:p>
      <w:pPr>
        <w:ind w:firstLine="640" w:firstLineChars="200"/>
        <w:rPr>
          <w:rFonts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按照以台江区医院为龙头，社区医院为枢纽，其他医疗卫生机构为基础，实现集团化办医。</w:t>
      </w:r>
    </w:p>
    <w:p>
      <w:pPr>
        <w:ind w:firstLine="640" w:firstLineChars="200"/>
        <w:rPr>
          <w:rFonts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台江区总医院牵头台江区妇幼保健院和</w:t>
      </w:r>
      <w:r>
        <w:rPr>
          <w:rFonts w:hint="eastAsia" w:ascii="仿宋_GB2312" w:eastAsia="仿宋_GB2312"/>
          <w:color w:val="333333"/>
          <w:sz w:val="32"/>
          <w:szCs w:val="32"/>
          <w:shd w:val="clear" w:color="auto" w:fill="FFFFFF"/>
          <w:lang w:val="en-US" w:eastAsia="zh-CN"/>
        </w:rPr>
        <w:t>10</w:t>
      </w:r>
      <w:r>
        <w:rPr>
          <w:rFonts w:hint="eastAsia" w:ascii="仿宋_GB2312" w:eastAsia="仿宋_GB2312"/>
          <w:color w:val="333333"/>
          <w:sz w:val="32"/>
          <w:szCs w:val="32"/>
          <w:shd w:val="clear" w:color="auto" w:fill="FFFFFF"/>
        </w:rPr>
        <w:t>家街道社区卫生服务中心组成医疗集团。分片分步推进资源整合共享，按照“小专科、大综合、康复医养”功能定位，力争用3年时间将区级医院打造为二级甲等综合医院，构建“小病在社区、大病转医院、康复回社区”的基层医疗卫生服务新模式。</w:t>
      </w:r>
    </w:p>
    <w:p>
      <w:pPr>
        <w:ind w:firstLine="643" w:firstLineChars="200"/>
        <w:rPr>
          <w:rFonts w:hint="eastAsia" w:ascii="仿宋_GB2312" w:eastAsia="仿宋_GB2312"/>
          <w:b/>
          <w:bCs/>
          <w:color w:val="333333"/>
          <w:sz w:val="32"/>
          <w:szCs w:val="32"/>
          <w:shd w:val="clear" w:color="auto" w:fill="FFFFFF"/>
          <w:lang w:val="en-US" w:eastAsia="zh-CN"/>
        </w:rPr>
      </w:pPr>
      <w:r>
        <w:rPr>
          <w:rFonts w:hint="eastAsia" w:ascii="仿宋_GB2312" w:eastAsia="仿宋_GB2312"/>
          <w:b/>
          <w:bCs/>
          <w:color w:val="333333"/>
          <w:sz w:val="32"/>
          <w:szCs w:val="32"/>
          <w:shd w:val="clear" w:color="auto" w:fill="FFFFFF"/>
          <w:lang w:val="en-US" w:eastAsia="zh-CN"/>
        </w:rPr>
        <w:t>二、项目相关图纸及数据</w:t>
      </w:r>
    </w:p>
    <w:p>
      <w:pPr>
        <w:pStyle w:val="8"/>
        <w:numPr>
          <w:ilvl w:val="-1"/>
          <w:numId w:val="0"/>
        </w:numPr>
        <w:ind w:firstLine="0" w:firstLineChars="0"/>
        <w:rPr>
          <w:rFonts w:hint="eastAsia" w:eastAsia="Arial"/>
          <w:lang w:val="en-US" w:eastAsia="zh-CN"/>
        </w:rPr>
      </w:pPr>
      <w:r>
        <w:drawing>
          <wp:inline distT="0" distB="0" distL="114300" distR="114300">
            <wp:extent cx="5271770" cy="3386455"/>
            <wp:effectExtent l="0" t="0" r="5080" b="444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5271770" cy="3386455"/>
                    </a:xfrm>
                    <a:prstGeom prst="rect">
                      <a:avLst/>
                    </a:prstGeom>
                    <a:noFill/>
                    <a:ln>
                      <a:noFill/>
                    </a:ln>
                  </pic:spPr>
                </pic:pic>
              </a:graphicData>
            </a:graphic>
          </wp:inline>
        </w:drawing>
      </w:r>
    </w:p>
    <w:p>
      <w:pPr>
        <w:pStyle w:val="2"/>
        <w:ind w:left="0" w:leftChars="0" w:firstLine="0" w:firstLineChars="0"/>
        <w:jc w:val="center"/>
        <w:rPr>
          <w:rFonts w:hint="eastAsia" w:eastAsia="Arial"/>
          <w:lang w:val="en-US" w:eastAsia="zh-CN"/>
        </w:rPr>
      </w:pPr>
      <w:r>
        <w:rPr>
          <w:rFonts w:hint="eastAsia" w:ascii="仿宋_GB2312" w:eastAsia="仿宋_GB2312" w:hAnsiTheme="minorHAnsi" w:cstheme="minorBidi"/>
          <w:color w:val="333333"/>
          <w:kern w:val="2"/>
          <w:sz w:val="32"/>
          <w:szCs w:val="32"/>
          <w:shd w:val="clear" w:color="auto" w:fill="FFFFFF"/>
          <w:lang w:val="en-US" w:eastAsia="zh-CN" w:bidi="ar-SA"/>
        </w:rPr>
        <w:t>项目功能剖面图</w:t>
      </w:r>
    </w:p>
    <w:p>
      <w:pPr>
        <w:pStyle w:val="12"/>
        <w:jc w:val="center"/>
        <w:rPr>
          <w:rFonts w:hint="eastAsia"/>
          <w:lang w:val="en-US" w:eastAsia="zh-CN"/>
        </w:rPr>
      </w:pPr>
      <w:r>
        <w:rPr>
          <w:rFonts w:hint="default" w:eastAsiaTheme="minorEastAsia"/>
          <w:lang w:val="en-US" w:eastAsia="zh-CN"/>
        </w:rPr>
        <w:drawing>
          <wp:inline distT="0" distB="0" distL="114300" distR="114300">
            <wp:extent cx="5272405" cy="3259455"/>
            <wp:effectExtent l="0" t="0" r="4445" b="17145"/>
            <wp:docPr id="3" name="图片 3" descr="第82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第82页-1"/>
                    <pic:cNvPicPr>
                      <a:picLocks noChangeAspect="1"/>
                    </pic:cNvPicPr>
                  </pic:nvPicPr>
                  <pic:blipFill>
                    <a:blip r:embed="rId6"/>
                    <a:stretch>
                      <a:fillRect/>
                    </a:stretch>
                  </pic:blipFill>
                  <pic:spPr>
                    <a:xfrm>
                      <a:off x="0" y="0"/>
                      <a:ext cx="5272405" cy="3259455"/>
                    </a:xfrm>
                    <a:prstGeom prst="rect">
                      <a:avLst/>
                    </a:prstGeom>
                  </pic:spPr>
                </pic:pic>
              </a:graphicData>
            </a:graphic>
          </wp:inline>
        </w:drawing>
      </w:r>
      <w:r>
        <w:rPr>
          <w:rFonts w:hint="eastAsia" w:ascii="仿宋_GB2312" w:eastAsia="仿宋_GB2312" w:hAnsiTheme="minorHAnsi" w:cstheme="minorBidi"/>
          <w:color w:val="333333"/>
          <w:kern w:val="2"/>
          <w:sz w:val="32"/>
          <w:szCs w:val="32"/>
          <w:shd w:val="clear" w:color="auto" w:fill="FFFFFF"/>
          <w:lang w:val="en-US" w:eastAsia="zh-CN" w:bidi="ar-SA"/>
        </w:rPr>
        <w:t>办公/网络机房平面图</w:t>
      </w:r>
    </w:p>
    <w:p>
      <w:pPr>
        <w:pStyle w:val="12"/>
        <w:rPr>
          <w:rFonts w:hint="eastAsia"/>
          <w:lang w:val="en-US" w:eastAsia="zh-CN"/>
        </w:rPr>
      </w:pPr>
    </w:p>
    <w:p>
      <w:pPr>
        <w:ind w:firstLine="643" w:firstLineChars="200"/>
        <w:rPr>
          <w:rFonts w:ascii="仿宋_GB2312" w:eastAsia="仿宋_GB2312"/>
          <w:color w:val="333333"/>
          <w:sz w:val="32"/>
          <w:szCs w:val="32"/>
          <w:shd w:val="clear" w:color="auto" w:fill="FFFFFF"/>
        </w:rPr>
      </w:pPr>
      <w:r>
        <w:rPr>
          <w:rFonts w:hint="eastAsia" w:ascii="仿宋_GB2312" w:eastAsia="仿宋_GB2312"/>
          <w:b/>
          <w:bCs/>
          <w:color w:val="333333"/>
          <w:sz w:val="32"/>
          <w:szCs w:val="32"/>
          <w:shd w:val="clear" w:color="auto" w:fill="FFFFFF"/>
          <w:lang w:eastAsia="zh-CN"/>
        </w:rPr>
        <w:t>三、</w:t>
      </w:r>
      <w:r>
        <w:rPr>
          <w:rFonts w:hint="eastAsia" w:ascii="仿宋_GB2312" w:eastAsia="仿宋_GB2312"/>
          <w:b/>
          <w:bCs/>
          <w:color w:val="333333"/>
          <w:sz w:val="32"/>
          <w:szCs w:val="32"/>
          <w:shd w:val="clear" w:color="auto" w:fill="FFFFFF"/>
        </w:rPr>
        <w:t>项目建设内容</w:t>
      </w:r>
    </w:p>
    <w:tbl>
      <w:tblPr>
        <w:tblStyle w:val="9"/>
        <w:tblW w:w="4852"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24"/>
        <w:gridCol w:w="1109"/>
        <w:gridCol w:w="1464"/>
        <w:gridCol w:w="49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jc w:val="center"/>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序号</w:t>
            </w:r>
          </w:p>
        </w:tc>
        <w:tc>
          <w:tcPr>
            <w:tcW w:w="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项目类别</w:t>
            </w:r>
          </w:p>
        </w:tc>
        <w:tc>
          <w:tcPr>
            <w:tcW w:w="8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建设内容</w:t>
            </w:r>
          </w:p>
        </w:tc>
        <w:tc>
          <w:tcPr>
            <w:tcW w:w="3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bCs/>
                <w:i w:val="0"/>
                <w:iCs w:val="0"/>
                <w:color w:val="000000"/>
                <w:kern w:val="0"/>
                <w:sz w:val="21"/>
                <w:szCs w:val="21"/>
                <w:u w:val="none"/>
                <w:lang w:val="en-US" w:eastAsia="zh-CN" w:bidi="ar"/>
              </w:rPr>
            </w:pPr>
            <w:r>
              <w:rPr>
                <w:rFonts w:hint="eastAsia" w:ascii="仿宋_GB2312" w:hAnsi="仿宋_GB2312" w:eastAsia="仿宋_GB2312" w:cs="仿宋_GB2312"/>
                <w:b/>
                <w:bCs/>
                <w:i w:val="0"/>
                <w:iCs w:val="0"/>
                <w:color w:val="000000"/>
                <w:kern w:val="0"/>
                <w:sz w:val="21"/>
                <w:szCs w:val="21"/>
                <w:u w:val="none"/>
                <w:lang w:val="en-US" w:eastAsia="zh-CN" w:bidi="ar"/>
              </w:rPr>
              <w:t>建设说明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jc w:val="center"/>
        </w:trPr>
        <w:tc>
          <w:tcPr>
            <w:tcW w:w="199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一、信息系统建设</w:t>
            </w:r>
          </w:p>
        </w:tc>
        <w:tc>
          <w:tcPr>
            <w:tcW w:w="30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bCs/>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15" w:hRule="atLeast"/>
          <w:jc w:val="center"/>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w:t>
            </w:r>
          </w:p>
        </w:tc>
        <w:tc>
          <w:tcPr>
            <w:tcW w:w="670"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医疗服务</w:t>
            </w:r>
          </w:p>
        </w:tc>
        <w:tc>
          <w:tcPr>
            <w:tcW w:w="8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HIS系统</w:t>
            </w:r>
          </w:p>
        </w:tc>
        <w:tc>
          <w:tcPr>
            <w:tcW w:w="3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sz w:val="21"/>
                <w:szCs w:val="21"/>
                <w:lang w:val="en-US" w:eastAsia="zh-CN"/>
              </w:rPr>
              <w:t>医疗管理信息系统（HIS）是以医院管理为目的，以“病人为中心”和“高效诊疗”为服务理念，以“一卡通”作为患者唯一标识，引入全自助、全预约、预支付等的新型服务模型，提供高效率、高质量、流程化、标准化与个性化的服务流程定制，全面提升医疗服务质量和患者满意度，系统结合医学与管理信息，通过处理收费、药品及物资等财务信息，将各系统数据动态相联，保证各部门运转既相互协调、配合又相互制约、控制，从而建立起一套合理、高效、科学的工作流程制度。医疗管理信息系统（HIS）将支持医院的行政管理与事务处理业务，辅助医院管理和决策，提高医院的工作效率和运营效益。主要功能包括：挂号服务、门诊收费与结算、门急诊处方和处置管理、门诊输液管理、住院收费与结算、患者入出转、病区床位管理、住院医嘱管理、临床路径管理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65" w:hRule="atLeast"/>
          <w:jc w:val="center"/>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w:t>
            </w:r>
          </w:p>
        </w:tc>
        <w:tc>
          <w:tcPr>
            <w:tcW w:w="670"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000000"/>
                <w:sz w:val="21"/>
                <w:szCs w:val="21"/>
                <w:u w:val="none"/>
              </w:rPr>
            </w:pPr>
          </w:p>
        </w:tc>
        <w:tc>
          <w:tcPr>
            <w:tcW w:w="8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电子病历系统</w:t>
            </w:r>
          </w:p>
        </w:tc>
        <w:tc>
          <w:tcPr>
            <w:tcW w:w="3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sz w:val="21"/>
                <w:szCs w:val="21"/>
                <w:lang w:val="en-US" w:eastAsia="zh-CN"/>
              </w:rPr>
              <w:t>病历是病人在医院诊断治疗全过程的原始记录，它包含有首页、病程记录、检查检验结果、医嘱、手术记录、护理记录等等。电子病历不仅指静态病历信息，还包括提供的相关服务。是以电子化方式管理的有关个人终生健康状态和医疗保健行为的信息，涉及病人信息的采集、存储、传输、处理和利用的所有过程信息。主要功能包括：门急诊电子病历、住院电子病历、护理电子病历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jc w:val="center"/>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w:t>
            </w:r>
          </w:p>
        </w:tc>
        <w:tc>
          <w:tcPr>
            <w:tcW w:w="670"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医疗服务</w:t>
            </w:r>
          </w:p>
        </w:tc>
        <w:tc>
          <w:tcPr>
            <w:tcW w:w="8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急诊分级分诊</w:t>
            </w:r>
          </w:p>
        </w:tc>
        <w:tc>
          <w:tcPr>
            <w:tcW w:w="3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sz w:val="21"/>
                <w:szCs w:val="21"/>
                <w:lang w:val="en-US" w:eastAsia="zh-CN"/>
              </w:rPr>
              <w:t>依据患者生命体征与病情评估等数据，智能分级分诊。具体功能包括：病情评估、信息获取、急诊分级、诊室分配等。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95" w:hRule="atLeast"/>
          <w:jc w:val="center"/>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4</w:t>
            </w:r>
          </w:p>
        </w:tc>
        <w:tc>
          <w:tcPr>
            <w:tcW w:w="670"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000000"/>
                <w:sz w:val="21"/>
                <w:szCs w:val="21"/>
                <w:u w:val="none"/>
              </w:rPr>
            </w:pPr>
          </w:p>
        </w:tc>
        <w:tc>
          <w:tcPr>
            <w:tcW w:w="8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健康体检管理</w:t>
            </w:r>
          </w:p>
        </w:tc>
        <w:tc>
          <w:tcPr>
            <w:tcW w:w="3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sz w:val="21"/>
                <w:szCs w:val="21"/>
                <w:lang w:val="en-US" w:eastAsia="zh-CN"/>
              </w:rPr>
              <w:t>健康体检管理可以建立完整的健康档案，能够方便快捷地完成体检过程的登记、报告、结算，对受检者的体检情况进行全面地记录和管理，实现体检业务过程的数字化管理。系统支持通过PACS、LIS接口直接读取检查、检验结果，自动生成体检报告，提供丰富的查询、统计和分析功能，并实现与HIS系统的无缝连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95" w:hRule="atLeast"/>
          <w:jc w:val="center"/>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w:t>
            </w:r>
          </w:p>
        </w:tc>
        <w:tc>
          <w:tcPr>
            <w:tcW w:w="670"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000000"/>
                <w:sz w:val="21"/>
                <w:szCs w:val="21"/>
                <w:u w:val="none"/>
              </w:rPr>
            </w:pPr>
          </w:p>
        </w:tc>
        <w:tc>
          <w:tcPr>
            <w:tcW w:w="8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智慧手术室</w:t>
            </w:r>
          </w:p>
        </w:tc>
        <w:tc>
          <w:tcPr>
            <w:tcW w:w="3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sz w:val="21"/>
                <w:szCs w:val="21"/>
                <w:lang w:val="en-US" w:eastAsia="zh-CN"/>
              </w:rPr>
              <w:t>为提升手术技术水平及手术室使用效率、减少非必要的手术室时间及人力成本，医院采用数字一体化手术室已成为趋势。利用现代信息技术、全高清视频技术、图形信号处理技术和机电设备自动控制技术等，完美整合净化工程与数字信息化科技，将手术室内的仪器及环境设备等整合在一起，方便手术室人员使用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5" w:hRule="atLeast"/>
          <w:jc w:val="center"/>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6</w:t>
            </w:r>
          </w:p>
        </w:tc>
        <w:tc>
          <w:tcPr>
            <w:tcW w:w="670"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000000"/>
                <w:sz w:val="21"/>
                <w:szCs w:val="21"/>
                <w:u w:val="none"/>
              </w:rPr>
            </w:pPr>
          </w:p>
        </w:tc>
        <w:tc>
          <w:tcPr>
            <w:tcW w:w="8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慢病管理系统</w:t>
            </w:r>
          </w:p>
        </w:tc>
        <w:tc>
          <w:tcPr>
            <w:tcW w:w="3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sz w:val="21"/>
                <w:szCs w:val="21"/>
                <w:lang w:val="en-US" w:eastAsia="zh-CN"/>
              </w:rPr>
              <w:t>建立与家庭医生、基层卫生信息系统、HIS的系统资源整合，实现患者信息数据的同步。基于地图坐标方式的患者慢病体征数据监测、指标异常报警等；通过定制个性干预服务处方,定制穿戴以及测量设备对患者提供管理上的服务，进一步实现对患者的监管与干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35" w:hRule="atLeast"/>
          <w:jc w:val="center"/>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7</w:t>
            </w:r>
          </w:p>
        </w:tc>
        <w:tc>
          <w:tcPr>
            <w:tcW w:w="670"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000000"/>
                <w:sz w:val="21"/>
                <w:szCs w:val="21"/>
                <w:u w:val="none"/>
              </w:rPr>
            </w:pPr>
          </w:p>
        </w:tc>
        <w:tc>
          <w:tcPr>
            <w:tcW w:w="8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院感管理系统</w:t>
            </w:r>
          </w:p>
        </w:tc>
        <w:tc>
          <w:tcPr>
            <w:tcW w:w="3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以医院感染的预防和控制为中心，以院感业务为主线，实现系统预测、医生上报、院感专职人员审核的业务流程，用医生和院感专职人员消息机制形成系统闭环。</w:t>
            </w:r>
          </w:p>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sz w:val="21"/>
                <w:szCs w:val="21"/>
                <w:lang w:val="en-US" w:eastAsia="zh-CN"/>
              </w:rPr>
              <w:t>系统数据库与HIS、EMR、LIS、PACS等医院信息系统紧密结合，依据国内外医院感染管理、监测、诊断等规范并结合医院实际业务，实现院感信息化。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85" w:hRule="atLeast"/>
          <w:jc w:val="center"/>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8</w:t>
            </w:r>
          </w:p>
        </w:tc>
        <w:tc>
          <w:tcPr>
            <w:tcW w:w="6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医疗辅助</w:t>
            </w:r>
          </w:p>
        </w:tc>
        <w:tc>
          <w:tcPr>
            <w:tcW w:w="8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手麻信息管理</w:t>
            </w:r>
          </w:p>
        </w:tc>
        <w:tc>
          <w:tcPr>
            <w:tcW w:w="3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利用信息化技术、物联网技术，对手术室的人流、物流进行精细化管理，在围手术期全过程管理提供手术与手术室管理信息支持，提高手术室的工作效率和质量。</w:t>
            </w:r>
          </w:p>
          <w:p>
            <w:pPr>
              <w:keepNext w:val="0"/>
              <w:keepLines w:val="0"/>
              <w:pageBreakBefore w:val="0"/>
              <w:kinsoku/>
              <w:wordWrap/>
              <w:overflowPunct/>
              <w:topLinePunct w:val="0"/>
              <w:autoSpaceDE/>
              <w:autoSpaceDN/>
              <w:bidi w:val="0"/>
              <w:adjustRightInd/>
              <w:snapToGrid/>
              <w:spacing w:line="240" w:lineRule="exact"/>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sz w:val="21"/>
                <w:szCs w:val="21"/>
                <w:lang w:val="en-US" w:eastAsia="zh-CN"/>
              </w:rPr>
              <w:t>主要功能包括：麻醉手术排班管理子系统、麻醉术前信息管理子系统、麻醉术中信息管理子系统等。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0" w:hRule="atLeast"/>
          <w:jc w:val="center"/>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9</w:t>
            </w: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000000"/>
                <w:sz w:val="21"/>
                <w:szCs w:val="21"/>
                <w:u w:val="none"/>
              </w:rPr>
            </w:pPr>
          </w:p>
        </w:tc>
        <w:tc>
          <w:tcPr>
            <w:tcW w:w="8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临床检验管理系统</w:t>
            </w:r>
          </w:p>
        </w:tc>
        <w:tc>
          <w:tcPr>
            <w:tcW w:w="3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sz w:val="21"/>
                <w:szCs w:val="21"/>
                <w:lang w:val="en-US" w:eastAsia="zh-CN"/>
              </w:rPr>
              <w:t>检验信息系统的主要任务是协助检验师对检验申请单及标本进行预处理，检验数据的自动采集或直接录入，检验数据处理、检验报告的审核、查询、打印等。系统实现常规检验、生化检验、免疫检验、微生物检验、分子检验等全流程信息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5" w:hRule="atLeast"/>
          <w:jc w:val="center"/>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10</w:t>
            </w: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000000"/>
                <w:sz w:val="21"/>
                <w:szCs w:val="21"/>
                <w:u w:val="none"/>
              </w:rPr>
            </w:pPr>
          </w:p>
        </w:tc>
        <w:tc>
          <w:tcPr>
            <w:tcW w:w="8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医学影像系统</w:t>
            </w:r>
          </w:p>
        </w:tc>
        <w:tc>
          <w:tcPr>
            <w:tcW w:w="3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sz w:val="21"/>
                <w:szCs w:val="21"/>
                <w:lang w:val="en-US" w:eastAsia="zh-CN"/>
              </w:rPr>
              <w:t>实现医学影像信息资料电子化传输、存储、后处理与应用调阅。包括：影像、超声系统、放射系统、内镜系统。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jc w:val="center"/>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11</w:t>
            </w: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000000"/>
                <w:sz w:val="21"/>
                <w:szCs w:val="21"/>
                <w:u w:val="none"/>
              </w:rPr>
            </w:pPr>
          </w:p>
        </w:tc>
        <w:tc>
          <w:tcPr>
            <w:tcW w:w="8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心电电生理信息管理</w:t>
            </w:r>
          </w:p>
        </w:tc>
        <w:tc>
          <w:tcPr>
            <w:tcW w:w="3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sz w:val="21"/>
                <w:szCs w:val="21"/>
                <w:lang w:val="en-US" w:eastAsia="zh-CN"/>
              </w:rPr>
              <w:t>提供心电图机与运动平台、脑电图、肌电图、动态心电图等电生理检查信息的管理。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5" w:hRule="atLeast"/>
          <w:jc w:val="center"/>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12</w:t>
            </w: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000000"/>
                <w:sz w:val="21"/>
                <w:szCs w:val="21"/>
                <w:u w:val="none"/>
              </w:rPr>
            </w:pPr>
          </w:p>
        </w:tc>
        <w:tc>
          <w:tcPr>
            <w:tcW w:w="8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输血/血库信息管理</w:t>
            </w:r>
          </w:p>
        </w:tc>
        <w:tc>
          <w:tcPr>
            <w:tcW w:w="3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sz w:val="21"/>
                <w:szCs w:val="21"/>
                <w:lang w:val="en-US" w:eastAsia="zh-CN"/>
              </w:rPr>
              <w:t>输血/血库信息管理包括血液的入库、储存、供应以及输血科(血库)等方面的管理。其主要目的是，为医院有关工作人员提供准确、方便的工作手段和环境，以便保质、保量的满足医院各部门对血液的需求，保证患者用血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20" w:hRule="atLeast"/>
          <w:jc w:val="center"/>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13</w:t>
            </w:r>
          </w:p>
        </w:tc>
        <w:tc>
          <w:tcPr>
            <w:tcW w:w="6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医疗管理</w:t>
            </w:r>
          </w:p>
        </w:tc>
        <w:tc>
          <w:tcPr>
            <w:tcW w:w="8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医务管理</w:t>
            </w:r>
          </w:p>
        </w:tc>
        <w:tc>
          <w:tcPr>
            <w:tcW w:w="3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sz w:val="21"/>
                <w:szCs w:val="21"/>
              </w:rPr>
              <w:t>将医院医务日常工作管理、医疗技术授权管理、医疗技术档案管理、科室 管理等医务科日常管理工作分门别类，实现工作流管理、流程化管理、工作 闭环管理、溯源管理、精准化管控、AI人工智能等多种功能，为提高工作效 率提供了保证。做到全程、实时、准确管理，全面提升管理水平和管理效率。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5" w:hRule="atLeast"/>
          <w:jc w:val="center"/>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14</w:t>
            </w: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000000"/>
                <w:sz w:val="21"/>
                <w:szCs w:val="21"/>
                <w:u w:val="none"/>
              </w:rPr>
            </w:pPr>
          </w:p>
        </w:tc>
        <w:tc>
          <w:tcPr>
            <w:tcW w:w="8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护理管理</w:t>
            </w:r>
          </w:p>
        </w:tc>
        <w:tc>
          <w:tcPr>
            <w:tcW w:w="3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sz w:val="21"/>
                <w:szCs w:val="21"/>
              </w:rPr>
              <w:t>对构成护理质量的各要素进行计划、组织、协调和控制，通过疑难病例讨论、护理查房、各类检测指标上报、不良事件上报等工作，使护理过程按标准满足服务对象的需求。具体功能包括：护理质量计划设置、护理质量考评点设置、质量考评结果统计分析、护理质量整改计划设置、护理人员资质管理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5" w:hRule="atLeast"/>
          <w:jc w:val="center"/>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15</w:t>
            </w: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000000"/>
                <w:sz w:val="21"/>
                <w:szCs w:val="21"/>
                <w:u w:val="none"/>
              </w:rPr>
            </w:pPr>
          </w:p>
        </w:tc>
        <w:tc>
          <w:tcPr>
            <w:tcW w:w="8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病案管理</w:t>
            </w:r>
          </w:p>
        </w:tc>
        <w:tc>
          <w:tcPr>
            <w:tcW w:w="3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sz w:val="21"/>
                <w:szCs w:val="21"/>
              </w:rPr>
              <w:t>病案管理与统计为电子病历系统提供病案管理的服务与支持，主要包含病历编码、归档、回退、冻结、借阅、监控、统计查询等功能。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80" w:hRule="atLeast"/>
          <w:jc w:val="center"/>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16</w:t>
            </w: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000000"/>
                <w:sz w:val="21"/>
                <w:szCs w:val="21"/>
                <w:u w:val="none"/>
              </w:rPr>
            </w:pPr>
          </w:p>
        </w:tc>
        <w:tc>
          <w:tcPr>
            <w:tcW w:w="8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手术分级管理</w:t>
            </w:r>
          </w:p>
        </w:tc>
        <w:tc>
          <w:tcPr>
            <w:tcW w:w="3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sz w:val="21"/>
                <w:szCs w:val="21"/>
              </w:rPr>
              <w:t>以手术分级目录为基础,为具有不同专业技术职务任职资格的手术医生授予相应的手术权限，在手术申请流程中实现分级审批，保障手术安全进行。具体功能包括：手术等级设置、手术分级授权、分级审批流程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jc w:val="center"/>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17</w:t>
            </w: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000000"/>
                <w:sz w:val="21"/>
                <w:szCs w:val="21"/>
                <w:u w:val="none"/>
              </w:rPr>
            </w:pPr>
          </w:p>
        </w:tc>
        <w:tc>
          <w:tcPr>
            <w:tcW w:w="8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数据上报管理系统</w:t>
            </w:r>
          </w:p>
        </w:tc>
        <w:tc>
          <w:tcPr>
            <w:tcW w:w="3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sz w:val="21"/>
                <w:szCs w:val="21"/>
              </w:rPr>
              <w:t>支持HQMS</w:t>
            </w:r>
            <w:r>
              <w:rPr>
                <w:rFonts w:hint="eastAsia" w:ascii="仿宋_GB2312" w:hAnsi="仿宋_GB2312" w:eastAsia="仿宋_GB2312" w:cs="仿宋_GB2312"/>
                <w:sz w:val="21"/>
                <w:szCs w:val="21"/>
                <w:lang w:val="en-US" w:eastAsia="zh-CN"/>
              </w:rPr>
              <w:t>上报、</w:t>
            </w:r>
            <w:r>
              <w:rPr>
                <w:rFonts w:hint="eastAsia" w:ascii="仿宋_GB2312" w:hAnsi="仿宋_GB2312" w:eastAsia="仿宋_GB2312" w:cs="仿宋_GB2312"/>
                <w:sz w:val="21"/>
                <w:szCs w:val="21"/>
              </w:rPr>
              <w:t>传染病信息上报、医疗安全（不良）事件上报、重大疾病信息上报、死因信息上报、预防接种信息上报、突发公共卫生事件相关信息上报和食源性疾病信息上报等功能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5" w:hRule="atLeast"/>
          <w:jc w:val="center"/>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18</w:t>
            </w:r>
          </w:p>
        </w:tc>
        <w:tc>
          <w:tcPr>
            <w:tcW w:w="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药剂管理</w:t>
            </w:r>
          </w:p>
        </w:tc>
        <w:tc>
          <w:tcPr>
            <w:tcW w:w="8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合理用药系统</w:t>
            </w:r>
          </w:p>
        </w:tc>
        <w:tc>
          <w:tcPr>
            <w:tcW w:w="3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sz w:val="21"/>
                <w:szCs w:val="21"/>
                <w:lang w:val="en-US" w:eastAsia="zh-CN"/>
              </w:rPr>
              <w:t>合理用药管理系统</w:t>
            </w:r>
            <w:r>
              <w:rPr>
                <w:rFonts w:hint="eastAsia" w:ascii="仿宋_GB2312" w:hAnsi="仿宋_GB2312" w:eastAsia="仿宋_GB2312" w:cs="仿宋_GB2312"/>
                <w:sz w:val="21"/>
                <w:szCs w:val="21"/>
                <w:lang w:val="en-US" w:eastAsia="zh-CN"/>
              </w:rPr>
              <w:tab/>
            </w:r>
            <w:r>
              <w:rPr>
                <w:rFonts w:hint="eastAsia" w:ascii="仿宋_GB2312" w:hAnsi="仿宋_GB2312" w:eastAsia="仿宋_GB2312" w:cs="仿宋_GB2312"/>
                <w:sz w:val="21"/>
                <w:szCs w:val="21"/>
                <w:lang w:val="en-US" w:eastAsia="zh-CN"/>
              </w:rPr>
              <w:t>提供合理用药管理系统，主要包括：医药信息查询功能、规则库、审查功能、干预系统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5" w:hRule="atLeast"/>
          <w:jc w:val="center"/>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19</w:t>
            </w:r>
          </w:p>
        </w:tc>
        <w:tc>
          <w:tcPr>
            <w:tcW w:w="6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移动医疗</w:t>
            </w:r>
          </w:p>
        </w:tc>
        <w:tc>
          <w:tcPr>
            <w:tcW w:w="8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移动查房系统</w:t>
            </w:r>
          </w:p>
        </w:tc>
        <w:tc>
          <w:tcPr>
            <w:tcW w:w="3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sz w:val="21"/>
                <w:szCs w:val="21"/>
                <w:lang w:val="en-US" w:eastAsia="zh-CN"/>
              </w:rPr>
              <w:t>通过移动终端实现医生移动查房，支持调阅患者本次或历史就诊信息，支持直接下达医嘱等工作的实时记录。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5" w:hRule="atLeast"/>
          <w:jc w:val="center"/>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20</w:t>
            </w: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000000"/>
                <w:sz w:val="21"/>
                <w:szCs w:val="21"/>
                <w:u w:val="none"/>
              </w:rPr>
            </w:pPr>
          </w:p>
        </w:tc>
        <w:tc>
          <w:tcPr>
            <w:tcW w:w="8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移动护理系统</w:t>
            </w:r>
          </w:p>
        </w:tc>
        <w:tc>
          <w:tcPr>
            <w:tcW w:w="3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sz w:val="21"/>
                <w:szCs w:val="21"/>
                <w:lang w:val="en-US" w:eastAsia="zh-CN"/>
              </w:rPr>
              <w:t>通过移动终端实现临床护理移动化，实现护理服务从计划、执行、跟踪到结束的全过程监督管理。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0" w:hRule="atLeast"/>
          <w:jc w:val="center"/>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21</w:t>
            </w: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000000"/>
                <w:sz w:val="21"/>
                <w:szCs w:val="21"/>
                <w:u w:val="none"/>
              </w:rPr>
            </w:pPr>
          </w:p>
        </w:tc>
        <w:tc>
          <w:tcPr>
            <w:tcW w:w="8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移动输液系统</w:t>
            </w:r>
          </w:p>
        </w:tc>
        <w:tc>
          <w:tcPr>
            <w:tcW w:w="3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sz w:val="21"/>
                <w:szCs w:val="21"/>
                <w:lang w:val="en-US" w:eastAsia="zh-CN"/>
              </w:rPr>
              <w:t>实现输液护理工作者对输液患者及药物的基本管理，通过移动终端实现输液的日常核对、巡视等工作，并对输液过程进行用药安全监控。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5" w:hRule="atLeast"/>
          <w:jc w:val="center"/>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22</w:t>
            </w:r>
          </w:p>
        </w:tc>
        <w:tc>
          <w:tcPr>
            <w:tcW w:w="6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便民服务</w:t>
            </w:r>
          </w:p>
        </w:tc>
        <w:tc>
          <w:tcPr>
            <w:tcW w:w="8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预约服务管理系统</w:t>
            </w:r>
          </w:p>
        </w:tc>
        <w:tc>
          <w:tcPr>
            <w:tcW w:w="3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提供门诊预约平台，包括：排班管理、预约管理、排队叫号、预约量统计；</w:t>
            </w:r>
          </w:p>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提供医技智能预约平台，包括：科室管理、医技项目管理、智能规则库等；</w:t>
            </w:r>
          </w:p>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sz w:val="21"/>
                <w:szCs w:val="21"/>
                <w:lang w:val="en-US" w:eastAsia="zh-CN"/>
              </w:rPr>
              <w:t>提供住院床位预约平台，包括患者入院申请、患者入院查询、床位分配管理、床位智能分配等。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5" w:hRule="atLeast"/>
          <w:jc w:val="center"/>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23</w:t>
            </w: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000000"/>
                <w:sz w:val="21"/>
                <w:szCs w:val="21"/>
                <w:u w:val="none"/>
              </w:rPr>
            </w:pPr>
          </w:p>
        </w:tc>
        <w:tc>
          <w:tcPr>
            <w:tcW w:w="8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区域掌上医院平台</w:t>
            </w:r>
          </w:p>
        </w:tc>
        <w:tc>
          <w:tcPr>
            <w:tcW w:w="3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sz w:val="21"/>
                <w:szCs w:val="21"/>
                <w:lang w:val="en-US" w:eastAsia="zh-CN"/>
              </w:rPr>
              <w:t>依托实体医院，通过互联网在线方式为患者提供在线就诊服务，患者可以通过系统预约医院医生，采用音视频交互的方式获取在线就诊服务。主要包括就诊咨询、医生排班、患者信息查询、在线就诊（音视频交互方式）、电子处方、药品配送等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atLeast"/>
          <w:jc w:val="center"/>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24</w:t>
            </w: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000000"/>
                <w:sz w:val="21"/>
                <w:szCs w:val="21"/>
                <w:u w:val="none"/>
              </w:rPr>
            </w:pPr>
          </w:p>
        </w:tc>
        <w:tc>
          <w:tcPr>
            <w:tcW w:w="8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便民结算管理</w:t>
            </w:r>
          </w:p>
        </w:tc>
        <w:tc>
          <w:tcPr>
            <w:tcW w:w="3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sz w:val="21"/>
                <w:szCs w:val="21"/>
                <w:lang w:val="en-US" w:eastAsia="zh-CN"/>
              </w:rPr>
              <w:t>支持便民结算管理，提供统一支付平台、多点结算平台、诊间结算、电子卡多码融合平台。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5" w:hRule="atLeast"/>
          <w:jc w:val="center"/>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25</w:t>
            </w: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000000"/>
                <w:sz w:val="21"/>
                <w:szCs w:val="21"/>
                <w:u w:val="none"/>
              </w:rPr>
            </w:pPr>
          </w:p>
        </w:tc>
        <w:tc>
          <w:tcPr>
            <w:tcW w:w="8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全自助服务管理</w:t>
            </w:r>
          </w:p>
        </w:tc>
        <w:tc>
          <w:tcPr>
            <w:tcW w:w="3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sz w:val="21"/>
                <w:szCs w:val="21"/>
                <w:lang w:val="en-US" w:eastAsia="zh-CN"/>
              </w:rPr>
              <w:t>主要以自助机的方式为患者提供自助发卡、自助报告打印、自助胶片打印、自助费用清单打印、自助病历打印、自助信息查询、自助预约挂号、自助充值缴费、自助结算、自助排队等功能。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jc w:val="center"/>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26</w:t>
            </w:r>
          </w:p>
        </w:tc>
        <w:tc>
          <w:tcPr>
            <w:tcW w:w="670"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区域协同</w:t>
            </w:r>
          </w:p>
        </w:tc>
        <w:tc>
          <w:tcPr>
            <w:tcW w:w="8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远程会诊管理系统</w:t>
            </w:r>
          </w:p>
        </w:tc>
        <w:tc>
          <w:tcPr>
            <w:tcW w:w="3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sz w:val="21"/>
                <w:szCs w:val="21"/>
                <w:lang w:val="en-US" w:eastAsia="zh-CN"/>
              </w:rPr>
              <w:t>是利用现代化通讯工具和移动远程平台，上级医院专家或多学科专家为患者进行病历分析、病情诊断，进一步确定治疗方案的治疗方式。与移动终端和移动网络结合，可实现专家医生随时随地进行会诊。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90" w:hRule="atLeast"/>
          <w:jc w:val="center"/>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27</w:t>
            </w:r>
          </w:p>
        </w:tc>
        <w:tc>
          <w:tcPr>
            <w:tcW w:w="670"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仿宋_GB2312" w:hAnsi="仿宋_GB2312" w:eastAsia="仿宋_GB2312" w:cs="仿宋_GB2312"/>
                <w:i w:val="0"/>
                <w:iCs w:val="0"/>
                <w:color w:val="000000"/>
                <w:sz w:val="21"/>
                <w:szCs w:val="21"/>
                <w:u w:val="none"/>
              </w:rPr>
            </w:pPr>
          </w:p>
        </w:tc>
        <w:tc>
          <w:tcPr>
            <w:tcW w:w="8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双向转诊管理系统</w:t>
            </w:r>
          </w:p>
        </w:tc>
        <w:tc>
          <w:tcPr>
            <w:tcW w:w="3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sz w:val="21"/>
                <w:szCs w:val="21"/>
                <w:lang w:val="en-US" w:eastAsia="zh-CN"/>
              </w:rPr>
              <w:t>实现台江区医疗信息资源整合、数据互联互通及推进区域诊疗、双向转诊、预约诊疗等工作，将优质医疗资源下沉，使群众就近享受优质的医疗服务。有效破解基层医疗卫生单位人才不足、水平不高等制约发展的瓶颈问题，帮助基层医疗卫生单位人员提高诊疗水平。同时，聚焦体系建设、一体化管理、用活医保政策、信息化管理、提供全方位全生命周期健康服务全面推进紧密型医共体建设，着力构建优质高效整合型医疗卫生服务体系，推动形成就医和诊疗新格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0" w:hRule="atLeast"/>
          <w:jc w:val="center"/>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28</w:t>
            </w:r>
          </w:p>
        </w:tc>
        <w:tc>
          <w:tcPr>
            <w:tcW w:w="670"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000000"/>
                <w:sz w:val="21"/>
                <w:szCs w:val="21"/>
                <w:u w:val="none"/>
              </w:rPr>
            </w:pPr>
          </w:p>
        </w:tc>
        <w:tc>
          <w:tcPr>
            <w:tcW w:w="8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影像中心</w:t>
            </w:r>
          </w:p>
        </w:tc>
        <w:tc>
          <w:tcPr>
            <w:tcW w:w="3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sz w:val="21"/>
                <w:szCs w:val="21"/>
              </w:rPr>
              <w:t>建立集中的影像数据存储中心，整合连接区域内的医疗影像数据，实现各医院间数据互联互通、资源调阅。</w:t>
            </w:r>
            <w:r>
              <w:rPr>
                <w:rFonts w:hint="eastAsia" w:ascii="仿宋_GB2312" w:hAnsi="仿宋_GB2312" w:eastAsia="仿宋_GB2312" w:cs="仿宋_GB2312"/>
                <w:sz w:val="21"/>
                <w:szCs w:val="21"/>
                <w:lang w:val="en-US" w:eastAsia="zh-CN"/>
              </w:rPr>
              <w:t>在台江区</w:t>
            </w:r>
            <w:r>
              <w:rPr>
                <w:rFonts w:hint="eastAsia" w:ascii="仿宋_GB2312" w:hAnsi="仿宋_GB2312" w:eastAsia="仿宋_GB2312" w:cs="仿宋_GB2312"/>
                <w:sz w:val="21"/>
                <w:szCs w:val="21"/>
              </w:rPr>
              <w:t>医院设立远程诊断中心，负责承担区域内各级医疗机构</w:t>
            </w:r>
            <w:r>
              <w:rPr>
                <w:rFonts w:hint="eastAsia" w:ascii="仿宋_GB2312" w:hAnsi="仿宋_GB2312" w:eastAsia="仿宋_GB2312" w:cs="仿宋_GB2312"/>
                <w:sz w:val="21"/>
                <w:szCs w:val="21"/>
                <w:lang w:val="en-US" w:eastAsia="zh-CN"/>
              </w:rPr>
              <w:t>影像</w:t>
            </w:r>
            <w:r>
              <w:rPr>
                <w:rFonts w:hint="eastAsia" w:ascii="仿宋_GB2312" w:hAnsi="仿宋_GB2312" w:eastAsia="仿宋_GB2312" w:cs="仿宋_GB2312"/>
                <w:sz w:val="21"/>
                <w:szCs w:val="21"/>
              </w:rPr>
              <w:t>检查结果的远程诊断与会诊任务。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0" w:hRule="atLeast"/>
          <w:jc w:val="center"/>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29</w:t>
            </w:r>
          </w:p>
        </w:tc>
        <w:tc>
          <w:tcPr>
            <w:tcW w:w="670"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000000"/>
                <w:sz w:val="21"/>
                <w:szCs w:val="21"/>
                <w:u w:val="none"/>
              </w:rPr>
            </w:pPr>
          </w:p>
        </w:tc>
        <w:tc>
          <w:tcPr>
            <w:tcW w:w="8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心电中心</w:t>
            </w:r>
          </w:p>
        </w:tc>
        <w:tc>
          <w:tcPr>
            <w:tcW w:w="3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sz w:val="21"/>
                <w:szCs w:val="21"/>
              </w:rPr>
              <w:t>利用心电云平台，建设</w:t>
            </w:r>
            <w:r>
              <w:rPr>
                <w:rFonts w:hint="eastAsia" w:ascii="仿宋_GB2312" w:hAnsi="仿宋_GB2312" w:eastAsia="仿宋_GB2312" w:cs="仿宋_GB2312"/>
                <w:sz w:val="21"/>
                <w:szCs w:val="21"/>
                <w:lang w:val="en-US" w:eastAsia="zh-CN"/>
              </w:rPr>
              <w:t>区域内</w:t>
            </w:r>
            <w:r>
              <w:rPr>
                <w:rFonts w:hint="eastAsia" w:ascii="仿宋_GB2312" w:hAnsi="仿宋_GB2312" w:eastAsia="仿宋_GB2312" w:cs="仿宋_GB2312"/>
                <w:sz w:val="21"/>
                <w:szCs w:val="21"/>
              </w:rPr>
              <w:t>心电数据中心，实现</w:t>
            </w:r>
            <w:r>
              <w:rPr>
                <w:rFonts w:hint="eastAsia" w:ascii="仿宋_GB2312" w:hAnsi="仿宋_GB2312" w:eastAsia="仿宋_GB2312" w:cs="仿宋_GB2312"/>
                <w:sz w:val="21"/>
                <w:szCs w:val="21"/>
                <w:lang w:val="en-US" w:eastAsia="zh-CN"/>
              </w:rPr>
              <w:t>台江区</w:t>
            </w:r>
            <w:r>
              <w:rPr>
                <w:rFonts w:hint="eastAsia" w:ascii="仿宋_GB2312" w:hAnsi="仿宋_GB2312" w:eastAsia="仿宋_GB2312" w:cs="仿宋_GB2312"/>
                <w:sz w:val="21"/>
                <w:szCs w:val="21"/>
              </w:rPr>
              <w:t>心电的传输、存储、统计等功能。</w:t>
            </w:r>
            <w:r>
              <w:rPr>
                <w:rFonts w:hint="eastAsia" w:ascii="仿宋_GB2312" w:hAnsi="仿宋_GB2312" w:eastAsia="仿宋_GB2312" w:cs="仿宋_GB2312"/>
                <w:sz w:val="21"/>
                <w:szCs w:val="21"/>
                <w:lang w:val="en-US" w:eastAsia="zh-CN"/>
              </w:rPr>
              <w:t>在台江区</w:t>
            </w:r>
            <w:r>
              <w:rPr>
                <w:rFonts w:hint="eastAsia" w:ascii="仿宋_GB2312" w:hAnsi="仿宋_GB2312" w:eastAsia="仿宋_GB2312" w:cs="仿宋_GB2312"/>
                <w:sz w:val="21"/>
                <w:szCs w:val="21"/>
              </w:rPr>
              <w:t>医院设立远程诊断中心，负责承担区域内各级医疗机构心电图检查结果的远程诊断与会诊任务</w:t>
            </w:r>
            <w:r>
              <w:rPr>
                <w:rFonts w:hint="eastAsia" w:ascii="仿宋_GB2312" w:hAnsi="仿宋_GB2312" w:eastAsia="仿宋_GB2312" w:cs="仿宋_GB2312"/>
                <w:sz w:val="21"/>
                <w:szCs w:val="21"/>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jc w:val="center"/>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30</w:t>
            </w:r>
          </w:p>
        </w:tc>
        <w:tc>
          <w:tcPr>
            <w:tcW w:w="670"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000000"/>
                <w:sz w:val="21"/>
                <w:szCs w:val="21"/>
                <w:u w:val="none"/>
              </w:rPr>
            </w:pPr>
          </w:p>
        </w:tc>
        <w:tc>
          <w:tcPr>
            <w:tcW w:w="8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检验中心</w:t>
            </w:r>
          </w:p>
        </w:tc>
        <w:tc>
          <w:tcPr>
            <w:tcW w:w="3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sz w:val="21"/>
                <w:szCs w:val="21"/>
              </w:rPr>
              <w:t>利用</w:t>
            </w:r>
            <w:r>
              <w:rPr>
                <w:rFonts w:hint="eastAsia" w:ascii="仿宋_GB2312" w:hAnsi="仿宋_GB2312" w:eastAsia="仿宋_GB2312" w:cs="仿宋_GB2312"/>
                <w:sz w:val="21"/>
                <w:szCs w:val="21"/>
                <w:lang w:val="en-US" w:eastAsia="zh-CN"/>
              </w:rPr>
              <w:t>检验云平台</w:t>
            </w:r>
            <w:r>
              <w:rPr>
                <w:rFonts w:hint="eastAsia" w:ascii="仿宋_GB2312" w:hAnsi="仿宋_GB2312" w:eastAsia="仿宋_GB2312" w:cs="仿宋_GB2312"/>
                <w:sz w:val="21"/>
                <w:szCs w:val="21"/>
              </w:rPr>
              <w:t>，建设</w:t>
            </w:r>
            <w:r>
              <w:rPr>
                <w:rFonts w:hint="eastAsia" w:ascii="仿宋_GB2312" w:hAnsi="仿宋_GB2312" w:eastAsia="仿宋_GB2312" w:cs="仿宋_GB2312"/>
                <w:sz w:val="21"/>
                <w:szCs w:val="21"/>
                <w:lang w:val="en-US" w:eastAsia="zh-CN"/>
              </w:rPr>
              <w:t>区域内检验</w:t>
            </w:r>
            <w:r>
              <w:rPr>
                <w:rFonts w:hint="eastAsia" w:ascii="仿宋_GB2312" w:hAnsi="仿宋_GB2312" w:eastAsia="仿宋_GB2312" w:cs="仿宋_GB2312"/>
                <w:sz w:val="21"/>
                <w:szCs w:val="21"/>
              </w:rPr>
              <w:t>数据中心，实现</w:t>
            </w:r>
            <w:r>
              <w:rPr>
                <w:rFonts w:hint="eastAsia" w:ascii="仿宋_GB2312" w:hAnsi="仿宋_GB2312" w:eastAsia="仿宋_GB2312" w:cs="仿宋_GB2312"/>
                <w:sz w:val="21"/>
                <w:szCs w:val="21"/>
                <w:lang w:val="en-US" w:eastAsia="zh-CN"/>
              </w:rPr>
              <w:t>台江区检验数据</w:t>
            </w:r>
            <w:r>
              <w:rPr>
                <w:rFonts w:hint="eastAsia" w:ascii="仿宋_GB2312" w:hAnsi="仿宋_GB2312" w:eastAsia="仿宋_GB2312" w:cs="仿宋_GB2312"/>
                <w:sz w:val="21"/>
                <w:szCs w:val="21"/>
              </w:rPr>
              <w:t>的传输、存储、统计等功能。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5" w:hRule="atLeast"/>
          <w:jc w:val="center"/>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31</w:t>
            </w:r>
          </w:p>
        </w:tc>
        <w:tc>
          <w:tcPr>
            <w:tcW w:w="6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后勤管理</w:t>
            </w:r>
          </w:p>
        </w:tc>
        <w:tc>
          <w:tcPr>
            <w:tcW w:w="8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财务管理系统</w:t>
            </w:r>
          </w:p>
        </w:tc>
        <w:tc>
          <w:tcPr>
            <w:tcW w:w="3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sz w:val="21"/>
                <w:szCs w:val="21"/>
                <w:lang w:val="en-US" w:eastAsia="zh-CN"/>
              </w:rPr>
              <w:t>财务管理主要包括基础数据设置、出纳管理、总账管理、报表管理、动态会计平台、智能对账等功能模块。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5" w:hRule="atLeast"/>
          <w:jc w:val="center"/>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32</w:t>
            </w: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000000"/>
                <w:sz w:val="21"/>
                <w:szCs w:val="21"/>
                <w:u w:val="none"/>
              </w:rPr>
            </w:pPr>
          </w:p>
        </w:tc>
        <w:tc>
          <w:tcPr>
            <w:tcW w:w="8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物资设备管理系统</w:t>
            </w:r>
          </w:p>
        </w:tc>
        <w:tc>
          <w:tcPr>
            <w:tcW w:w="3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sz w:val="21"/>
                <w:szCs w:val="21"/>
                <w:lang w:val="en-US" w:eastAsia="zh-CN"/>
              </w:rPr>
              <w:t>物资材料管理包含低值耗材、办公用品的申请、审批、核对的全过程管理，可接入院外后勤物资供应链信息，提供请领、出入库、库存管理、采购等管理(支持在线请领流程)。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0" w:hRule="atLeast"/>
          <w:jc w:val="center"/>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33</w:t>
            </w: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000000"/>
                <w:sz w:val="21"/>
                <w:szCs w:val="21"/>
                <w:u w:val="none"/>
              </w:rPr>
            </w:pPr>
          </w:p>
        </w:tc>
        <w:tc>
          <w:tcPr>
            <w:tcW w:w="8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行政管理系统</w:t>
            </w:r>
          </w:p>
        </w:tc>
        <w:tc>
          <w:tcPr>
            <w:tcW w:w="3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sz w:val="21"/>
                <w:szCs w:val="21"/>
                <w:lang w:val="en-US" w:eastAsia="zh-CN"/>
              </w:rPr>
              <w:t>医院办公系统(OA)实现PC端以及移动端门户管理、工作流程管理、公文管理、文档管理和综合事务管理。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5" w:hRule="atLeast"/>
          <w:jc w:val="center"/>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34</w:t>
            </w: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000000"/>
                <w:sz w:val="21"/>
                <w:szCs w:val="21"/>
                <w:u w:val="none"/>
              </w:rPr>
            </w:pPr>
          </w:p>
        </w:tc>
        <w:tc>
          <w:tcPr>
            <w:tcW w:w="8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医疗废物处置管理系统</w:t>
            </w:r>
          </w:p>
        </w:tc>
        <w:tc>
          <w:tcPr>
            <w:tcW w:w="3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sz w:val="21"/>
                <w:szCs w:val="21"/>
                <w:lang w:val="en-US" w:eastAsia="zh-CN"/>
              </w:rPr>
              <w:t>医疗废物处置管理</w:t>
            </w:r>
            <w:r>
              <w:rPr>
                <w:rFonts w:hint="eastAsia" w:ascii="仿宋_GB2312" w:hAnsi="仿宋_GB2312" w:eastAsia="仿宋_GB2312" w:cs="仿宋_GB2312"/>
                <w:sz w:val="21"/>
                <w:szCs w:val="21"/>
                <w:lang w:val="en-US" w:eastAsia="zh-CN"/>
              </w:rPr>
              <w:tab/>
            </w:r>
            <w:r>
              <w:rPr>
                <w:rFonts w:hint="eastAsia" w:ascii="仿宋_GB2312" w:hAnsi="仿宋_GB2312" w:eastAsia="仿宋_GB2312" w:cs="仿宋_GB2312"/>
                <w:sz w:val="21"/>
                <w:szCs w:val="21"/>
                <w:lang w:val="en-US" w:eastAsia="zh-CN"/>
              </w:rPr>
              <w:t>主要提供对医疗机构、科室、医疗废物运输及存储等基础数据维护服务；医疗废物从二维码生成、打包、转运、暂存地入出库及异常上报处置全过程业务查询服务；业务数据溯源及统计查询服务；废弃物分类、异常类型、登记类型等数据字典的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jc w:val="center"/>
        </w:trPr>
        <w:tc>
          <w:tcPr>
            <w:tcW w:w="199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b/>
                <w:bCs/>
                <w:i w:val="0"/>
                <w:iCs w:val="0"/>
                <w:color w:val="000000"/>
                <w:kern w:val="0"/>
                <w:sz w:val="21"/>
                <w:szCs w:val="21"/>
                <w:u w:val="none"/>
                <w:lang w:val="en-US" w:eastAsia="zh-CN" w:bidi="ar"/>
              </w:rPr>
              <w:t>二、基础设施建设</w:t>
            </w:r>
          </w:p>
        </w:tc>
        <w:tc>
          <w:tcPr>
            <w:tcW w:w="30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bCs/>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w:t>
            </w:r>
          </w:p>
        </w:tc>
        <w:tc>
          <w:tcPr>
            <w:tcW w:w="6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机房以及网络安全</w:t>
            </w:r>
          </w:p>
        </w:tc>
        <w:tc>
          <w:tcPr>
            <w:tcW w:w="8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模块化机房</w:t>
            </w:r>
          </w:p>
        </w:tc>
        <w:tc>
          <w:tcPr>
            <w:tcW w:w="3006"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满足本项目应用的机房建设以及网络安全建设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0" w:hRule="atLeast"/>
          <w:jc w:val="center"/>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w:t>
            </w: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000000"/>
                <w:sz w:val="21"/>
                <w:szCs w:val="21"/>
                <w:u w:val="none"/>
              </w:rPr>
            </w:pPr>
          </w:p>
        </w:tc>
        <w:tc>
          <w:tcPr>
            <w:tcW w:w="8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UPS不间断电源</w:t>
            </w:r>
          </w:p>
        </w:tc>
        <w:tc>
          <w:tcPr>
            <w:tcW w:w="3006"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w:t>
            </w: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000000"/>
                <w:sz w:val="21"/>
                <w:szCs w:val="21"/>
                <w:u w:val="none"/>
              </w:rPr>
            </w:pPr>
          </w:p>
        </w:tc>
        <w:tc>
          <w:tcPr>
            <w:tcW w:w="8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机房网络设备（含无线）</w:t>
            </w:r>
          </w:p>
        </w:tc>
        <w:tc>
          <w:tcPr>
            <w:tcW w:w="3006"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jc w:val="center"/>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4</w:t>
            </w: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000000"/>
                <w:sz w:val="21"/>
                <w:szCs w:val="21"/>
                <w:u w:val="none"/>
              </w:rPr>
            </w:pPr>
          </w:p>
        </w:tc>
        <w:tc>
          <w:tcPr>
            <w:tcW w:w="8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服务器</w:t>
            </w:r>
          </w:p>
        </w:tc>
        <w:tc>
          <w:tcPr>
            <w:tcW w:w="3006"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5" w:hRule="atLeast"/>
          <w:jc w:val="center"/>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w:t>
            </w: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000000"/>
                <w:sz w:val="21"/>
                <w:szCs w:val="21"/>
                <w:u w:val="none"/>
              </w:rPr>
            </w:pPr>
          </w:p>
        </w:tc>
        <w:tc>
          <w:tcPr>
            <w:tcW w:w="8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存储设备</w:t>
            </w:r>
          </w:p>
        </w:tc>
        <w:tc>
          <w:tcPr>
            <w:tcW w:w="3006"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0" w:hRule="atLeast"/>
          <w:jc w:val="center"/>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6</w:t>
            </w: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000000"/>
                <w:sz w:val="21"/>
                <w:szCs w:val="21"/>
                <w:u w:val="none"/>
              </w:rPr>
            </w:pPr>
          </w:p>
        </w:tc>
        <w:tc>
          <w:tcPr>
            <w:tcW w:w="8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三级等保建设</w:t>
            </w:r>
          </w:p>
        </w:tc>
        <w:tc>
          <w:tcPr>
            <w:tcW w:w="3006"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7</w:t>
            </w: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000000"/>
                <w:sz w:val="21"/>
                <w:szCs w:val="21"/>
                <w:u w:val="none"/>
              </w:rPr>
            </w:pPr>
          </w:p>
        </w:tc>
        <w:tc>
          <w:tcPr>
            <w:tcW w:w="8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密码设备</w:t>
            </w:r>
          </w:p>
        </w:tc>
        <w:tc>
          <w:tcPr>
            <w:tcW w:w="3006" w:type="pct"/>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8</w:t>
            </w:r>
          </w:p>
        </w:tc>
        <w:tc>
          <w:tcPr>
            <w:tcW w:w="6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基础硬件</w:t>
            </w:r>
          </w:p>
        </w:tc>
        <w:tc>
          <w:tcPr>
            <w:tcW w:w="8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电脑终端（台式机、国产电脑）</w:t>
            </w:r>
          </w:p>
        </w:tc>
        <w:tc>
          <w:tcPr>
            <w:tcW w:w="3006" w:type="pct"/>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满足本建设项目的基础硬件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9</w:t>
            </w: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000000"/>
                <w:sz w:val="21"/>
                <w:szCs w:val="21"/>
                <w:u w:val="none"/>
              </w:rPr>
            </w:pPr>
          </w:p>
        </w:tc>
        <w:tc>
          <w:tcPr>
            <w:tcW w:w="8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移动查房推车</w:t>
            </w:r>
          </w:p>
        </w:tc>
        <w:tc>
          <w:tcPr>
            <w:tcW w:w="3006" w:type="pct"/>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0" w:hRule="atLeast"/>
          <w:jc w:val="center"/>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10</w:t>
            </w: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000000"/>
                <w:sz w:val="21"/>
                <w:szCs w:val="21"/>
                <w:u w:val="none"/>
              </w:rPr>
            </w:pPr>
          </w:p>
        </w:tc>
        <w:tc>
          <w:tcPr>
            <w:tcW w:w="8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移动护理推车</w:t>
            </w:r>
          </w:p>
        </w:tc>
        <w:tc>
          <w:tcPr>
            <w:tcW w:w="3006"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5" w:hRule="atLeast"/>
          <w:jc w:val="center"/>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11</w:t>
            </w: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000000"/>
                <w:sz w:val="21"/>
                <w:szCs w:val="21"/>
                <w:u w:val="none"/>
              </w:rPr>
            </w:pPr>
          </w:p>
        </w:tc>
        <w:tc>
          <w:tcPr>
            <w:tcW w:w="8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移动输液设备</w:t>
            </w:r>
          </w:p>
        </w:tc>
        <w:tc>
          <w:tcPr>
            <w:tcW w:w="3006" w:type="pct"/>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jc w:val="center"/>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12</w:t>
            </w: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000000"/>
                <w:sz w:val="21"/>
                <w:szCs w:val="21"/>
                <w:u w:val="none"/>
              </w:rPr>
            </w:pPr>
          </w:p>
        </w:tc>
        <w:tc>
          <w:tcPr>
            <w:tcW w:w="8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PDA</w:t>
            </w:r>
          </w:p>
        </w:tc>
        <w:tc>
          <w:tcPr>
            <w:tcW w:w="3006" w:type="pct"/>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5" w:hRule="atLeast"/>
          <w:jc w:val="center"/>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13</w:t>
            </w: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000000"/>
                <w:sz w:val="21"/>
                <w:szCs w:val="21"/>
                <w:u w:val="none"/>
              </w:rPr>
            </w:pPr>
          </w:p>
        </w:tc>
        <w:tc>
          <w:tcPr>
            <w:tcW w:w="8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专业显示器3M（影像类专用显示器）</w:t>
            </w:r>
          </w:p>
        </w:tc>
        <w:tc>
          <w:tcPr>
            <w:tcW w:w="3006" w:type="pct"/>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5" w:hRule="atLeast"/>
          <w:jc w:val="center"/>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14</w:t>
            </w: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000000"/>
                <w:sz w:val="21"/>
                <w:szCs w:val="21"/>
                <w:u w:val="none"/>
              </w:rPr>
            </w:pPr>
          </w:p>
        </w:tc>
        <w:tc>
          <w:tcPr>
            <w:tcW w:w="8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打印机（激光、普通等）</w:t>
            </w:r>
          </w:p>
        </w:tc>
        <w:tc>
          <w:tcPr>
            <w:tcW w:w="3006" w:type="pct"/>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jc w:val="center"/>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15</w:t>
            </w: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000000"/>
                <w:sz w:val="21"/>
                <w:szCs w:val="21"/>
                <w:u w:val="none"/>
              </w:rPr>
            </w:pPr>
          </w:p>
        </w:tc>
        <w:tc>
          <w:tcPr>
            <w:tcW w:w="8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无线扫码器</w:t>
            </w:r>
          </w:p>
        </w:tc>
        <w:tc>
          <w:tcPr>
            <w:tcW w:w="3006" w:type="pct"/>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5" w:hRule="atLeast"/>
          <w:jc w:val="center"/>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16</w:t>
            </w: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000000"/>
                <w:sz w:val="21"/>
                <w:szCs w:val="21"/>
                <w:u w:val="none"/>
              </w:rPr>
            </w:pPr>
          </w:p>
        </w:tc>
        <w:tc>
          <w:tcPr>
            <w:tcW w:w="8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读卡器</w:t>
            </w:r>
          </w:p>
        </w:tc>
        <w:tc>
          <w:tcPr>
            <w:tcW w:w="3006" w:type="pct"/>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17</w:t>
            </w: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000000"/>
                <w:sz w:val="21"/>
                <w:szCs w:val="21"/>
                <w:u w:val="none"/>
              </w:rPr>
            </w:pPr>
          </w:p>
        </w:tc>
        <w:tc>
          <w:tcPr>
            <w:tcW w:w="8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自助一体机</w:t>
            </w:r>
          </w:p>
        </w:tc>
        <w:tc>
          <w:tcPr>
            <w:tcW w:w="3006" w:type="pct"/>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18</w:t>
            </w:r>
          </w:p>
        </w:tc>
        <w:tc>
          <w:tcPr>
            <w:tcW w:w="67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基础软件</w:t>
            </w:r>
          </w:p>
        </w:tc>
        <w:tc>
          <w:tcPr>
            <w:tcW w:w="8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操作系统</w:t>
            </w:r>
          </w:p>
        </w:tc>
        <w:tc>
          <w:tcPr>
            <w:tcW w:w="3006" w:type="pct"/>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包含国产操作系统以及数据库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19</w:t>
            </w: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000000"/>
                <w:sz w:val="21"/>
                <w:szCs w:val="21"/>
                <w:u w:val="none"/>
              </w:rPr>
            </w:pPr>
          </w:p>
        </w:tc>
        <w:tc>
          <w:tcPr>
            <w:tcW w:w="8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数据库</w:t>
            </w:r>
          </w:p>
        </w:tc>
        <w:tc>
          <w:tcPr>
            <w:tcW w:w="3006" w:type="pct"/>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0" w:hRule="atLeast"/>
          <w:jc w:val="center"/>
        </w:trPr>
        <w:tc>
          <w:tcPr>
            <w:tcW w:w="199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bCs/>
                <w:i w:val="0"/>
                <w:iCs w:val="0"/>
                <w:color w:val="000000"/>
                <w:sz w:val="21"/>
                <w:szCs w:val="21"/>
                <w:u w:val="none"/>
                <w:lang w:val="en-US"/>
              </w:rPr>
            </w:pPr>
            <w:r>
              <w:rPr>
                <w:rFonts w:hint="eastAsia" w:ascii="仿宋_GB2312" w:hAnsi="仿宋_GB2312" w:eastAsia="仿宋_GB2312" w:cs="仿宋_GB2312"/>
                <w:b/>
                <w:bCs/>
                <w:i w:val="0"/>
                <w:iCs w:val="0"/>
                <w:color w:val="000000"/>
                <w:kern w:val="0"/>
                <w:sz w:val="21"/>
                <w:szCs w:val="21"/>
                <w:u w:val="none"/>
                <w:lang w:val="en-US" w:eastAsia="zh-CN" w:bidi="ar"/>
              </w:rPr>
              <w:t>三、网络部分</w:t>
            </w:r>
          </w:p>
        </w:tc>
        <w:tc>
          <w:tcPr>
            <w:tcW w:w="30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bCs/>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w:t>
            </w:r>
          </w:p>
        </w:tc>
        <w:tc>
          <w:tcPr>
            <w:tcW w:w="155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互联网专线</w:t>
            </w:r>
          </w:p>
        </w:tc>
        <w:tc>
          <w:tcPr>
            <w:tcW w:w="3006"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基础网络建设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jc w:val="center"/>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w:t>
            </w:r>
          </w:p>
        </w:tc>
        <w:tc>
          <w:tcPr>
            <w:tcW w:w="155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医保专线</w:t>
            </w:r>
          </w:p>
        </w:tc>
        <w:tc>
          <w:tcPr>
            <w:tcW w:w="3006"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5" w:hRule="atLeast"/>
          <w:jc w:val="center"/>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w:t>
            </w:r>
          </w:p>
        </w:tc>
        <w:tc>
          <w:tcPr>
            <w:tcW w:w="155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卫生信息专网</w:t>
            </w:r>
          </w:p>
        </w:tc>
        <w:tc>
          <w:tcPr>
            <w:tcW w:w="3006"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jc w:val="left"/>
        <w:rPr>
          <w:rFonts w:hint="default" w:ascii="宋体" w:hAnsi="宋体" w:eastAsia="宋体" w:cs="宋体"/>
          <w:i w:val="0"/>
          <w:iCs w:val="0"/>
          <w:caps w:val="0"/>
          <w:color w:val="000000"/>
          <w:spacing w:val="0"/>
          <w:kern w:val="0"/>
          <w:sz w:val="24"/>
          <w:szCs w:val="24"/>
          <w:shd w:val="clear" w:fill="FFFFFF"/>
          <w:lang w:val="en-US" w:eastAsia="zh-CN" w:bidi="ar"/>
        </w:rPr>
      </w:pPr>
      <w:r>
        <w:rPr>
          <w:rFonts w:hint="eastAsia" w:ascii="仿宋" w:hAnsi="仿宋" w:eastAsia="仿宋" w:cs="仿宋"/>
          <w:i w:val="0"/>
          <w:iCs w:val="0"/>
          <w:caps w:val="0"/>
          <w:color w:val="000000"/>
          <w:spacing w:val="0"/>
          <w:kern w:val="0"/>
          <w:sz w:val="24"/>
          <w:szCs w:val="24"/>
          <w:shd w:val="clear" w:fill="FFFFFF"/>
          <w:lang w:val="en-US" w:eastAsia="zh-CN" w:bidi="ar"/>
        </w:rPr>
        <w:t>备注：以上建设清单软硬件均需包含建设期后三年的运维费用</w:t>
      </w:r>
      <w:r>
        <w:rPr>
          <w:rFonts w:hint="eastAsia" w:ascii="宋体" w:hAnsi="宋体" w:eastAsia="宋体" w:cs="宋体"/>
          <w:i w:val="0"/>
          <w:iCs w:val="0"/>
          <w:caps w:val="0"/>
          <w:color w:val="000000"/>
          <w:spacing w:val="0"/>
          <w:kern w:val="0"/>
          <w:sz w:val="24"/>
          <w:szCs w:val="24"/>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jc w:val="left"/>
        <w:rPr>
          <w:rFonts w:hint="eastAsia" w:ascii="仿宋_GB2312" w:eastAsia="仿宋_GB2312"/>
          <w:color w:val="333333"/>
          <w:sz w:val="28"/>
          <w:szCs w:val="28"/>
          <w:shd w:val="clear" w:color="auto" w:fill="FFFFFF"/>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jc w:val="left"/>
        <w:rPr>
          <w:rFonts w:hint="eastAsia" w:ascii="仿宋_GB2312" w:eastAsia="仿宋_GB2312"/>
          <w:color w:val="333333"/>
          <w:sz w:val="28"/>
          <w:szCs w:val="28"/>
          <w:shd w:val="clear" w:color="auto" w:fill="FFFFFF"/>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jc w:val="left"/>
        <w:rPr>
          <w:rFonts w:hint="eastAsia" w:ascii="仿宋_GB2312" w:eastAsia="仿宋_GB2312"/>
          <w:color w:val="333333"/>
          <w:sz w:val="28"/>
          <w:szCs w:val="28"/>
          <w:shd w:val="clear" w:color="auto" w:fill="FFFFFF"/>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jc w:val="left"/>
        <w:rPr>
          <w:rFonts w:hint="eastAsia" w:ascii="仿宋_GB2312" w:eastAsia="仿宋_GB2312"/>
          <w:color w:val="333333"/>
          <w:sz w:val="28"/>
          <w:szCs w:val="28"/>
          <w:shd w:val="clear" w:color="auto" w:fill="FFFFFF"/>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jc w:val="left"/>
        <w:rPr>
          <w:rFonts w:hint="eastAsia" w:ascii="仿宋_GB2312" w:eastAsia="仿宋_GB2312"/>
          <w:color w:val="333333"/>
          <w:sz w:val="28"/>
          <w:szCs w:val="28"/>
          <w:shd w:val="clear" w:color="auto" w:fill="FFFFFF"/>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jc w:val="left"/>
        <w:rPr>
          <w:rFonts w:hint="eastAsia" w:ascii="仿宋_GB2312" w:eastAsia="仿宋_GB2312"/>
          <w:color w:val="333333"/>
          <w:sz w:val="28"/>
          <w:szCs w:val="28"/>
          <w:shd w:val="clear" w:color="auto" w:fill="FFFFFF"/>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jc w:val="left"/>
        <w:rPr>
          <w:rFonts w:hint="eastAsia" w:ascii="仿宋_GB2312" w:eastAsia="仿宋_GB2312"/>
          <w:color w:val="333333"/>
          <w:sz w:val="28"/>
          <w:szCs w:val="28"/>
          <w:shd w:val="clear" w:color="auto" w:fill="FFFFFF"/>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jc w:val="left"/>
        <w:rPr>
          <w:rFonts w:hint="eastAsia" w:ascii="仿宋_GB2312" w:eastAsia="仿宋_GB2312"/>
          <w:color w:val="333333"/>
          <w:sz w:val="28"/>
          <w:szCs w:val="28"/>
          <w:shd w:val="clear" w:color="auto" w:fill="FFFFFF"/>
          <w:lang w:val="en-US" w:eastAsia="zh-CN"/>
        </w:rPr>
        <w:sectPr>
          <w:footerReference r:id="rId3" w:type="default"/>
          <w:pgSz w:w="11906" w:h="16838"/>
          <w:pgMar w:top="1440" w:right="1800" w:bottom="1440" w:left="1800" w:header="851" w:footer="992" w:gutter="0"/>
          <w:pgNumType w:fmt="decimal"/>
          <w:cols w:space="425" w:num="1"/>
          <w:docGrid w:type="lines" w:linePitch="312" w:charSpace="0"/>
        </w:sect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jc w:val="left"/>
        <w:rPr>
          <w:rFonts w:hint="eastAsia" w:ascii="宋体" w:hAnsi="宋体" w:eastAsia="宋体" w:cs="宋体"/>
          <w:i w:val="0"/>
          <w:iCs w:val="0"/>
          <w:caps w:val="0"/>
          <w:color w:val="000000"/>
          <w:spacing w:val="0"/>
          <w:kern w:val="0"/>
          <w:sz w:val="24"/>
          <w:szCs w:val="24"/>
          <w:shd w:val="clear" w:fill="FFFFFF"/>
          <w:lang w:val="en-US" w:eastAsia="zh-CN" w:bidi="ar"/>
        </w:rPr>
      </w:pPr>
      <w:r>
        <w:rPr>
          <w:rFonts w:hint="eastAsia" w:ascii="仿宋_GB2312" w:eastAsia="仿宋_GB2312"/>
          <w:color w:val="333333"/>
          <w:sz w:val="32"/>
          <w:szCs w:val="32"/>
          <w:shd w:val="clear" w:color="auto" w:fill="FFFFFF"/>
          <w:lang w:val="en-US" w:eastAsia="zh-CN"/>
        </w:rPr>
        <w:t>附件2</w:t>
      </w:r>
      <w:r>
        <w:rPr>
          <w:rFonts w:hint="eastAsia" w:ascii="仿宋_GB2312" w:eastAsia="仿宋_GB2312"/>
          <w:color w:val="333333"/>
          <w:sz w:val="28"/>
          <w:szCs w:val="28"/>
          <w:shd w:val="clear" w:color="auto" w:fill="FFFFFF"/>
          <w:lang w:val="en-US" w:eastAsia="zh-CN"/>
        </w:rPr>
        <w:t xml:space="preserve"> </w:t>
      </w:r>
      <w:r>
        <w:rPr>
          <w:rFonts w:hint="eastAsia" w:ascii="宋体" w:hAnsi="宋体" w:eastAsia="宋体" w:cs="宋体"/>
          <w:i w:val="0"/>
          <w:iCs w:val="0"/>
          <w:caps w:val="0"/>
          <w:color w:val="000000"/>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jc w:val="center"/>
        <w:rPr>
          <w:rFonts w:hint="eastAsia" w:ascii="方正小标宋_GBK" w:hAnsi="方正小标宋_GBK" w:eastAsia="方正小标宋_GBK" w:cs="方正小标宋_GBK"/>
          <w:i w:val="0"/>
          <w:iCs w:val="0"/>
          <w:caps w:val="0"/>
          <w:color w:val="000000"/>
          <w:spacing w:val="0"/>
          <w:sz w:val="44"/>
          <w:szCs w:val="44"/>
        </w:rPr>
      </w:pPr>
      <w:r>
        <w:rPr>
          <w:rFonts w:hint="eastAsia" w:ascii="方正小标宋_GBK" w:hAnsi="方正小标宋_GBK" w:eastAsia="方正小标宋_GBK" w:cs="方正小标宋_GBK"/>
          <w:b/>
          <w:bCs/>
          <w:i w:val="0"/>
          <w:iCs w:val="0"/>
          <w:caps w:val="0"/>
          <w:color w:val="000000"/>
          <w:spacing w:val="0"/>
          <w:kern w:val="0"/>
          <w:sz w:val="44"/>
          <w:szCs w:val="44"/>
          <w:shd w:val="clear" w:fill="FFFFFF"/>
          <w:lang w:val="en-US" w:eastAsia="zh-CN" w:bidi="ar"/>
        </w:rPr>
        <w:t>报价清单及报价汇总（供应商填写）</w:t>
      </w:r>
    </w:p>
    <w:tbl>
      <w:tblPr>
        <w:tblStyle w:val="9"/>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774"/>
        <w:gridCol w:w="5655"/>
        <w:gridCol w:w="1400"/>
        <w:gridCol w:w="1400"/>
        <w:gridCol w:w="1400"/>
        <w:gridCol w:w="335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48" w:hRule="atLeast"/>
          <w:jc w:val="center"/>
        </w:trPr>
        <w:tc>
          <w:tcPr>
            <w:tcW w:w="77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000000"/>
                <w:spacing w:val="0"/>
                <w:kern w:val="0"/>
                <w:sz w:val="32"/>
                <w:szCs w:val="32"/>
                <w:lang w:val="en-US" w:eastAsia="zh-CN" w:bidi="ar"/>
              </w:rPr>
              <w:t>序号</w:t>
            </w:r>
          </w:p>
        </w:tc>
        <w:tc>
          <w:tcPr>
            <w:tcW w:w="565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321" w:firstLineChars="100"/>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000000"/>
                <w:spacing w:val="0"/>
                <w:kern w:val="0"/>
                <w:sz w:val="32"/>
                <w:szCs w:val="32"/>
                <w:lang w:val="en-US" w:eastAsia="zh-CN" w:bidi="ar"/>
              </w:rPr>
              <w:t>项目明细名称</w:t>
            </w:r>
          </w:p>
        </w:tc>
        <w:tc>
          <w:tcPr>
            <w:tcW w:w="140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000000"/>
                <w:spacing w:val="0"/>
                <w:kern w:val="0"/>
                <w:sz w:val="32"/>
                <w:szCs w:val="32"/>
                <w:lang w:val="en-US" w:eastAsia="zh-CN" w:bidi="ar"/>
              </w:rPr>
              <w:t>单价</w:t>
            </w:r>
          </w:p>
        </w:tc>
        <w:tc>
          <w:tcPr>
            <w:tcW w:w="140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000000"/>
                <w:spacing w:val="0"/>
                <w:kern w:val="0"/>
                <w:sz w:val="32"/>
                <w:szCs w:val="32"/>
                <w:lang w:val="en-US" w:eastAsia="zh-CN" w:bidi="ar"/>
              </w:rPr>
              <w:t>数量</w:t>
            </w:r>
          </w:p>
        </w:tc>
        <w:tc>
          <w:tcPr>
            <w:tcW w:w="140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000000"/>
                <w:spacing w:val="0"/>
                <w:kern w:val="0"/>
                <w:sz w:val="32"/>
                <w:szCs w:val="32"/>
                <w:lang w:val="en-US" w:eastAsia="zh-CN" w:bidi="ar"/>
              </w:rPr>
              <w:t>金额</w:t>
            </w:r>
          </w:p>
        </w:tc>
        <w:tc>
          <w:tcPr>
            <w:tcW w:w="335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000000"/>
                <w:spacing w:val="0"/>
                <w:kern w:val="0"/>
                <w:sz w:val="32"/>
                <w:szCs w:val="32"/>
                <w:lang w:val="en-US" w:eastAsia="zh-CN" w:bidi="ar"/>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48" w:hRule="atLeast"/>
          <w:jc w:val="center"/>
        </w:trPr>
        <w:tc>
          <w:tcPr>
            <w:tcW w:w="77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jc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kern w:val="0"/>
                <w:sz w:val="28"/>
                <w:szCs w:val="28"/>
                <w:lang w:val="en-US" w:eastAsia="zh-CN" w:bidi="ar"/>
              </w:rPr>
              <w:t>1</w:t>
            </w:r>
          </w:p>
        </w:tc>
        <w:tc>
          <w:tcPr>
            <w:tcW w:w="565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rPr>
                <w:rFonts w:hint="eastAsia" w:ascii="仿宋_GB2312" w:hAnsi="仿宋_GB2312" w:eastAsia="仿宋_GB2312" w:cs="仿宋_GB2312"/>
                <w:sz w:val="28"/>
                <w:szCs w:val="28"/>
              </w:rPr>
            </w:pPr>
          </w:p>
        </w:tc>
        <w:tc>
          <w:tcPr>
            <w:tcW w:w="140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rPr>
                <w:rFonts w:hint="eastAsia" w:ascii="仿宋_GB2312" w:hAnsi="仿宋_GB2312" w:eastAsia="仿宋_GB2312" w:cs="仿宋_GB2312"/>
                <w:sz w:val="28"/>
                <w:szCs w:val="28"/>
              </w:rPr>
            </w:pPr>
          </w:p>
        </w:tc>
        <w:tc>
          <w:tcPr>
            <w:tcW w:w="140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rPr>
                <w:rFonts w:hint="eastAsia" w:ascii="仿宋_GB2312" w:hAnsi="仿宋_GB2312" w:eastAsia="仿宋_GB2312" w:cs="仿宋_GB2312"/>
                <w:sz w:val="28"/>
                <w:szCs w:val="28"/>
              </w:rPr>
            </w:pPr>
          </w:p>
        </w:tc>
        <w:tc>
          <w:tcPr>
            <w:tcW w:w="140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rPr>
                <w:rFonts w:hint="eastAsia" w:ascii="仿宋_GB2312" w:hAnsi="仿宋_GB2312" w:eastAsia="仿宋_GB2312" w:cs="仿宋_GB2312"/>
                <w:sz w:val="28"/>
                <w:szCs w:val="28"/>
              </w:rPr>
            </w:pPr>
          </w:p>
        </w:tc>
        <w:tc>
          <w:tcPr>
            <w:tcW w:w="335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rPr>
                <w:rFonts w:hint="eastAsia" w:ascii="仿宋_GB2312" w:hAnsi="仿宋_GB2312" w:eastAsia="仿宋_GB2312" w:cs="仿宋_GB2312"/>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48" w:hRule="atLeast"/>
          <w:jc w:val="center"/>
        </w:trPr>
        <w:tc>
          <w:tcPr>
            <w:tcW w:w="77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jc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kern w:val="0"/>
                <w:sz w:val="28"/>
                <w:szCs w:val="28"/>
                <w:lang w:val="en-US" w:eastAsia="zh-CN" w:bidi="ar"/>
              </w:rPr>
              <w:t>2</w:t>
            </w:r>
          </w:p>
        </w:tc>
        <w:tc>
          <w:tcPr>
            <w:tcW w:w="565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rPr>
                <w:rFonts w:hint="eastAsia" w:ascii="仿宋_GB2312" w:hAnsi="仿宋_GB2312" w:eastAsia="仿宋_GB2312" w:cs="仿宋_GB2312"/>
                <w:sz w:val="28"/>
                <w:szCs w:val="28"/>
              </w:rPr>
            </w:pPr>
          </w:p>
        </w:tc>
        <w:tc>
          <w:tcPr>
            <w:tcW w:w="140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rPr>
                <w:rFonts w:hint="eastAsia" w:ascii="仿宋_GB2312" w:hAnsi="仿宋_GB2312" w:eastAsia="仿宋_GB2312" w:cs="仿宋_GB2312"/>
                <w:sz w:val="28"/>
                <w:szCs w:val="28"/>
              </w:rPr>
            </w:pPr>
          </w:p>
        </w:tc>
        <w:tc>
          <w:tcPr>
            <w:tcW w:w="140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rPr>
                <w:rFonts w:hint="eastAsia" w:ascii="仿宋_GB2312" w:hAnsi="仿宋_GB2312" w:eastAsia="仿宋_GB2312" w:cs="仿宋_GB2312"/>
                <w:sz w:val="28"/>
                <w:szCs w:val="28"/>
              </w:rPr>
            </w:pPr>
          </w:p>
        </w:tc>
        <w:tc>
          <w:tcPr>
            <w:tcW w:w="140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rPr>
                <w:rFonts w:hint="eastAsia" w:ascii="仿宋_GB2312" w:hAnsi="仿宋_GB2312" w:eastAsia="仿宋_GB2312" w:cs="仿宋_GB2312"/>
                <w:sz w:val="28"/>
                <w:szCs w:val="28"/>
              </w:rPr>
            </w:pPr>
          </w:p>
        </w:tc>
        <w:tc>
          <w:tcPr>
            <w:tcW w:w="335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rPr>
                <w:rFonts w:hint="eastAsia" w:ascii="仿宋_GB2312" w:hAnsi="仿宋_GB2312" w:eastAsia="仿宋_GB2312" w:cs="仿宋_GB2312"/>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48" w:hRule="atLeast"/>
          <w:jc w:val="center"/>
        </w:trPr>
        <w:tc>
          <w:tcPr>
            <w:tcW w:w="77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w:t>
            </w:r>
          </w:p>
        </w:tc>
        <w:tc>
          <w:tcPr>
            <w:tcW w:w="565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rPr>
                <w:rFonts w:hint="eastAsia" w:ascii="仿宋_GB2312" w:hAnsi="仿宋_GB2312" w:eastAsia="仿宋_GB2312" w:cs="仿宋_GB2312"/>
                <w:sz w:val="28"/>
                <w:szCs w:val="28"/>
              </w:rPr>
            </w:pPr>
          </w:p>
        </w:tc>
        <w:tc>
          <w:tcPr>
            <w:tcW w:w="140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rPr>
                <w:rFonts w:hint="eastAsia" w:ascii="仿宋_GB2312" w:hAnsi="仿宋_GB2312" w:eastAsia="仿宋_GB2312" w:cs="仿宋_GB2312"/>
                <w:sz w:val="28"/>
                <w:szCs w:val="28"/>
              </w:rPr>
            </w:pPr>
          </w:p>
        </w:tc>
        <w:tc>
          <w:tcPr>
            <w:tcW w:w="140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rPr>
                <w:rFonts w:hint="eastAsia" w:ascii="仿宋_GB2312" w:hAnsi="仿宋_GB2312" w:eastAsia="仿宋_GB2312" w:cs="仿宋_GB2312"/>
                <w:sz w:val="28"/>
                <w:szCs w:val="28"/>
              </w:rPr>
            </w:pPr>
          </w:p>
        </w:tc>
        <w:tc>
          <w:tcPr>
            <w:tcW w:w="140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rPr>
                <w:rFonts w:hint="eastAsia" w:ascii="仿宋_GB2312" w:hAnsi="仿宋_GB2312" w:eastAsia="仿宋_GB2312" w:cs="仿宋_GB2312"/>
                <w:sz w:val="28"/>
                <w:szCs w:val="28"/>
              </w:rPr>
            </w:pPr>
          </w:p>
        </w:tc>
        <w:tc>
          <w:tcPr>
            <w:tcW w:w="335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rPr>
                <w:rFonts w:hint="eastAsia" w:ascii="仿宋_GB2312" w:hAnsi="仿宋_GB2312" w:eastAsia="仿宋_GB2312" w:cs="仿宋_GB2312"/>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48" w:hRule="atLeast"/>
          <w:jc w:val="center"/>
        </w:trPr>
        <w:tc>
          <w:tcPr>
            <w:tcW w:w="77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w:t>
            </w:r>
          </w:p>
        </w:tc>
        <w:tc>
          <w:tcPr>
            <w:tcW w:w="565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rPr>
                <w:rFonts w:hint="eastAsia" w:ascii="仿宋_GB2312" w:hAnsi="仿宋_GB2312" w:eastAsia="仿宋_GB2312" w:cs="仿宋_GB2312"/>
                <w:sz w:val="28"/>
                <w:szCs w:val="28"/>
              </w:rPr>
            </w:pPr>
          </w:p>
        </w:tc>
        <w:tc>
          <w:tcPr>
            <w:tcW w:w="140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rPr>
                <w:rFonts w:hint="eastAsia" w:ascii="仿宋_GB2312" w:hAnsi="仿宋_GB2312" w:eastAsia="仿宋_GB2312" w:cs="仿宋_GB2312"/>
                <w:sz w:val="28"/>
                <w:szCs w:val="28"/>
              </w:rPr>
            </w:pPr>
          </w:p>
        </w:tc>
        <w:tc>
          <w:tcPr>
            <w:tcW w:w="140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rPr>
                <w:rFonts w:hint="eastAsia" w:ascii="仿宋_GB2312" w:hAnsi="仿宋_GB2312" w:eastAsia="仿宋_GB2312" w:cs="仿宋_GB2312"/>
                <w:sz w:val="28"/>
                <w:szCs w:val="28"/>
              </w:rPr>
            </w:pPr>
          </w:p>
        </w:tc>
        <w:tc>
          <w:tcPr>
            <w:tcW w:w="140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rPr>
                <w:rFonts w:hint="eastAsia" w:ascii="仿宋_GB2312" w:hAnsi="仿宋_GB2312" w:eastAsia="仿宋_GB2312" w:cs="仿宋_GB2312"/>
                <w:sz w:val="28"/>
                <w:szCs w:val="28"/>
              </w:rPr>
            </w:pPr>
          </w:p>
        </w:tc>
        <w:tc>
          <w:tcPr>
            <w:tcW w:w="335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rPr>
                <w:rFonts w:hint="eastAsia" w:ascii="仿宋_GB2312" w:hAnsi="仿宋_GB2312" w:eastAsia="仿宋_GB2312" w:cs="仿宋_GB2312"/>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48" w:hRule="atLeast"/>
          <w:jc w:val="center"/>
        </w:trPr>
        <w:tc>
          <w:tcPr>
            <w:tcW w:w="77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w:t>
            </w:r>
          </w:p>
        </w:tc>
        <w:tc>
          <w:tcPr>
            <w:tcW w:w="565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rPr>
                <w:rFonts w:hint="eastAsia" w:ascii="仿宋_GB2312" w:hAnsi="仿宋_GB2312" w:eastAsia="仿宋_GB2312" w:cs="仿宋_GB2312"/>
                <w:sz w:val="28"/>
                <w:szCs w:val="28"/>
              </w:rPr>
            </w:pPr>
          </w:p>
        </w:tc>
        <w:tc>
          <w:tcPr>
            <w:tcW w:w="140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rPr>
                <w:rFonts w:hint="eastAsia" w:ascii="仿宋_GB2312" w:hAnsi="仿宋_GB2312" w:eastAsia="仿宋_GB2312" w:cs="仿宋_GB2312"/>
                <w:sz w:val="28"/>
                <w:szCs w:val="28"/>
              </w:rPr>
            </w:pPr>
          </w:p>
        </w:tc>
        <w:tc>
          <w:tcPr>
            <w:tcW w:w="140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rPr>
                <w:rFonts w:hint="eastAsia" w:ascii="仿宋_GB2312" w:hAnsi="仿宋_GB2312" w:eastAsia="仿宋_GB2312" w:cs="仿宋_GB2312"/>
                <w:sz w:val="28"/>
                <w:szCs w:val="28"/>
              </w:rPr>
            </w:pPr>
          </w:p>
        </w:tc>
        <w:tc>
          <w:tcPr>
            <w:tcW w:w="140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rPr>
                <w:rFonts w:hint="eastAsia" w:ascii="仿宋_GB2312" w:hAnsi="仿宋_GB2312" w:eastAsia="仿宋_GB2312" w:cs="仿宋_GB2312"/>
                <w:sz w:val="28"/>
                <w:szCs w:val="28"/>
              </w:rPr>
            </w:pPr>
          </w:p>
        </w:tc>
        <w:tc>
          <w:tcPr>
            <w:tcW w:w="335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rPr>
                <w:rFonts w:hint="eastAsia" w:ascii="仿宋_GB2312" w:hAnsi="仿宋_GB2312" w:eastAsia="仿宋_GB2312" w:cs="仿宋_GB2312"/>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48" w:hRule="atLeast"/>
          <w:jc w:val="center"/>
        </w:trPr>
        <w:tc>
          <w:tcPr>
            <w:tcW w:w="642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jc w:val="center"/>
              <w:rPr>
                <w:rFonts w:hint="eastAsia" w:ascii="仿宋_GB2312" w:hAnsi="仿宋_GB2312" w:eastAsia="仿宋_GB2312" w:cs="仿宋_GB2312"/>
                <w:sz w:val="28"/>
                <w:szCs w:val="28"/>
              </w:rPr>
            </w:pPr>
            <w:r>
              <w:rPr>
                <w:rFonts w:hint="eastAsia" w:ascii="仿宋_GB2312" w:hAnsi="仿宋_GB2312" w:eastAsia="仿宋_GB2312" w:cs="仿宋_GB2312"/>
                <w:b/>
                <w:bCs/>
                <w:i w:val="0"/>
                <w:iCs w:val="0"/>
                <w:caps w:val="0"/>
                <w:color w:val="000000"/>
                <w:spacing w:val="0"/>
                <w:kern w:val="0"/>
                <w:sz w:val="32"/>
                <w:szCs w:val="32"/>
                <w:lang w:val="en-US" w:eastAsia="zh-CN" w:bidi="ar"/>
              </w:rPr>
              <w:t>合计</w:t>
            </w:r>
          </w:p>
        </w:tc>
        <w:tc>
          <w:tcPr>
            <w:tcW w:w="140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rPr>
                <w:rFonts w:hint="eastAsia" w:ascii="仿宋_GB2312" w:hAnsi="仿宋_GB2312" w:eastAsia="仿宋_GB2312" w:cs="仿宋_GB2312"/>
                <w:sz w:val="28"/>
                <w:szCs w:val="28"/>
              </w:rPr>
            </w:pPr>
          </w:p>
        </w:tc>
        <w:tc>
          <w:tcPr>
            <w:tcW w:w="140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rPr>
                <w:rFonts w:hint="eastAsia" w:ascii="仿宋_GB2312" w:hAnsi="仿宋_GB2312" w:eastAsia="仿宋_GB2312" w:cs="仿宋_GB2312"/>
                <w:sz w:val="28"/>
                <w:szCs w:val="28"/>
              </w:rPr>
            </w:pPr>
          </w:p>
        </w:tc>
        <w:tc>
          <w:tcPr>
            <w:tcW w:w="140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rPr>
                <w:rFonts w:hint="eastAsia" w:ascii="仿宋_GB2312" w:hAnsi="仿宋_GB2312" w:eastAsia="仿宋_GB2312" w:cs="仿宋_GB2312"/>
                <w:sz w:val="28"/>
                <w:szCs w:val="28"/>
              </w:rPr>
            </w:pPr>
          </w:p>
        </w:tc>
        <w:tc>
          <w:tcPr>
            <w:tcW w:w="3352" w:type="dxa"/>
            <w:tcBorders>
              <w:top w:val="single" w:color="auto" w:sz="8" w:space="0"/>
              <w:left w:val="single" w:color="auto" w:sz="8" w:space="0"/>
              <w:bottom w:val="single" w:color="auto" w:sz="8" w:space="0"/>
              <w:right w:val="single" w:color="auto" w:sz="8" w:space="0"/>
            </w:tcBorders>
            <w:shd w:val="clear" w:color="auto" w:fill="FFFFFF"/>
            <w:vAlign w:val="center"/>
          </w:tcPr>
          <w:p>
            <w:pPr>
              <w:spacing w:line="360" w:lineRule="auto"/>
              <w:jc w:val="center"/>
              <w:rPr>
                <w:rFonts w:hint="eastAsia" w:ascii="仿宋_GB2312" w:hAnsi="仿宋_GB2312" w:eastAsia="仿宋_GB2312" w:cs="仿宋_GB2312"/>
                <w:i w:val="0"/>
                <w:iCs w:val="0"/>
                <w:caps w:val="0"/>
                <w:color w:val="000000"/>
                <w:spacing w:val="0"/>
                <w:sz w:val="28"/>
                <w:szCs w:val="28"/>
              </w:rPr>
            </w:pPr>
          </w:p>
        </w:tc>
      </w:tr>
    </w:tbl>
    <w:p>
      <w:pPr>
        <w:widowControl/>
        <w:shd w:val="clear" w:color="auto" w:fill="FFFFFF"/>
        <w:spacing w:line="360" w:lineRule="auto"/>
        <w:jc w:val="left"/>
        <w:rPr>
          <w:rFonts w:hint="default" w:ascii="宋体" w:hAnsi="宋体" w:eastAsia="宋体" w:cs="宋体"/>
          <w:color w:val="000000"/>
          <w:sz w:val="24"/>
          <w:lang w:val="en-US" w:eastAsia="zh-CN"/>
        </w:rPr>
      </w:pPr>
    </w:p>
    <w:sectPr>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FD20F3BB-7609-4F68-8899-90DF516831D5}"/>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57EB49E2-F150-4148-A3A1-3CB04328574D}"/>
  </w:font>
  <w:font w:name="Cambria Math">
    <w:panose1 w:val="02040503050406030204"/>
    <w:charset w:val="00"/>
    <w:family w:val="roman"/>
    <w:pitch w:val="default"/>
    <w:sig w:usb0="E00002FF" w:usb1="420024FF" w:usb2="00000000"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embedRegular r:id="rId3" w:fontKey="{251E81AA-396D-4775-8556-292DC1498D18}"/>
  </w:font>
  <w:font w:name="仿宋_GB2312">
    <w:panose1 w:val="02010609030101010101"/>
    <w:charset w:val="86"/>
    <w:family w:val="modern"/>
    <w:pitch w:val="default"/>
    <w:sig w:usb0="00000001" w:usb1="080E0000" w:usb2="00000000" w:usb3="00000000" w:csb0="00040000" w:csb1="00000000"/>
    <w:embedRegular r:id="rId4" w:fontKey="{7F4EF6CC-4060-4D94-A308-92E1AA02F3AA}"/>
  </w:font>
  <w:font w:name="仿宋">
    <w:panose1 w:val="02010609060101010101"/>
    <w:charset w:val="86"/>
    <w:family w:val="auto"/>
    <w:pitch w:val="default"/>
    <w:sig w:usb0="800002BF" w:usb1="38CF7CFA" w:usb2="00000016" w:usb3="00000000" w:csb0="00040001" w:csb1="00000000"/>
    <w:embedRegular r:id="rId5" w:fontKey="{EFC5E3DB-4E45-4BD5-9FBF-46A951A1841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VlYzVlNzIwZDIzNTFjOTgwNGQyNjZmZWRiMDhlODIifQ=="/>
    <w:docVar w:name="KSO_WPS_MARK_KEY" w:val="33903b88-8325-4a5a-9ddb-1b6c5ceb9926"/>
  </w:docVars>
  <w:rsids>
    <w:rsidRoot w:val="21772051"/>
    <w:rsid w:val="00570EC6"/>
    <w:rsid w:val="00997B92"/>
    <w:rsid w:val="00C22A55"/>
    <w:rsid w:val="00DC2047"/>
    <w:rsid w:val="06B76E2B"/>
    <w:rsid w:val="0CC35581"/>
    <w:rsid w:val="0D976791"/>
    <w:rsid w:val="0FAD6950"/>
    <w:rsid w:val="10D43521"/>
    <w:rsid w:val="11B34041"/>
    <w:rsid w:val="11E701D0"/>
    <w:rsid w:val="15C64AA9"/>
    <w:rsid w:val="164161DB"/>
    <w:rsid w:val="203C5F6F"/>
    <w:rsid w:val="21772051"/>
    <w:rsid w:val="248267CA"/>
    <w:rsid w:val="294A756A"/>
    <w:rsid w:val="2A8C5F26"/>
    <w:rsid w:val="2DBF4025"/>
    <w:rsid w:val="2E074BD5"/>
    <w:rsid w:val="33D15C68"/>
    <w:rsid w:val="3C6A77BC"/>
    <w:rsid w:val="441078AF"/>
    <w:rsid w:val="47AF2F63"/>
    <w:rsid w:val="4E743AFC"/>
    <w:rsid w:val="4F4B61EE"/>
    <w:rsid w:val="51E3533B"/>
    <w:rsid w:val="52943481"/>
    <w:rsid w:val="5869760D"/>
    <w:rsid w:val="59E71202"/>
    <w:rsid w:val="6105554A"/>
    <w:rsid w:val="71A24F00"/>
    <w:rsid w:val="7420444C"/>
    <w:rsid w:val="746C4D25"/>
    <w:rsid w:val="76C36FDE"/>
    <w:rsid w:val="7A3C1B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next w:val="1"/>
    <w:qFormat/>
    <w:uiPriority w:val="0"/>
    <w:pPr>
      <w:widowControl/>
      <w:spacing w:line="480" w:lineRule="auto"/>
      <w:ind w:left="420" w:leftChars="200"/>
      <w:jc w:val="left"/>
    </w:pPr>
    <w:rPr>
      <w:rFonts w:ascii="宋体" w:hAnsi="宋体"/>
    </w:rPr>
  </w:style>
  <w:style w:type="paragraph" w:styleId="3">
    <w:name w:val="Body Text"/>
    <w:basedOn w:val="1"/>
    <w:next w:val="1"/>
    <w:semiHidden/>
    <w:qFormat/>
    <w:uiPriority w:val="0"/>
    <w:rPr>
      <w:rFonts w:ascii="Arial" w:hAnsi="Arial" w:eastAsia="Arial" w:cs="Arial"/>
      <w:sz w:val="21"/>
      <w:szCs w:val="21"/>
      <w:lang w:val="en-US" w:eastAsia="en-US" w:bidi="ar-SA"/>
    </w:rPr>
  </w:style>
  <w:style w:type="paragraph" w:styleId="4">
    <w:name w:val="Plain Text"/>
    <w:basedOn w:val="1"/>
    <w:qFormat/>
    <w:uiPriority w:val="0"/>
    <w:pPr>
      <w:spacing w:line="240" w:lineRule="auto"/>
    </w:pPr>
    <w:rPr>
      <w:rFonts w:ascii="Cambria Math" w:hAnsi="等线 Light"/>
      <w:sz w:val="21"/>
    </w:rPr>
  </w:style>
  <w:style w:type="paragraph" w:styleId="5">
    <w:name w:val="footer"/>
    <w:basedOn w:val="1"/>
    <w:link w:val="14"/>
    <w:autoRedefine/>
    <w:qFormat/>
    <w:uiPriority w:val="0"/>
    <w:pPr>
      <w:tabs>
        <w:tab w:val="center" w:pos="4153"/>
        <w:tab w:val="right" w:pos="8306"/>
      </w:tabs>
      <w:snapToGrid w:val="0"/>
      <w:jc w:val="left"/>
    </w:pPr>
    <w:rPr>
      <w:sz w:val="18"/>
      <w:szCs w:val="18"/>
    </w:rPr>
  </w:style>
  <w:style w:type="paragraph" w:styleId="6">
    <w:name w:val="header"/>
    <w:basedOn w:val="1"/>
    <w:link w:val="13"/>
    <w:autoRedefine/>
    <w:qFormat/>
    <w:uiPriority w:val="0"/>
    <w:pPr>
      <w:tabs>
        <w:tab w:val="center" w:pos="4153"/>
        <w:tab w:val="right" w:pos="8306"/>
      </w:tabs>
      <w:snapToGrid w:val="0"/>
      <w:jc w:val="center"/>
    </w:pPr>
    <w:rPr>
      <w:sz w:val="18"/>
      <w:szCs w:val="18"/>
    </w:rPr>
  </w:style>
  <w:style w:type="paragraph" w:styleId="7">
    <w:name w:val="Normal (Web)"/>
    <w:basedOn w:val="1"/>
    <w:autoRedefine/>
    <w:qFormat/>
    <w:uiPriority w:val="0"/>
    <w:pPr>
      <w:spacing w:beforeAutospacing="1" w:afterAutospacing="1"/>
      <w:jc w:val="left"/>
    </w:pPr>
    <w:rPr>
      <w:rFonts w:cs="Times New Roman"/>
      <w:kern w:val="0"/>
      <w:sz w:val="24"/>
    </w:rPr>
  </w:style>
  <w:style w:type="paragraph" w:styleId="8">
    <w:name w:val="Body Text First Indent"/>
    <w:basedOn w:val="3"/>
    <w:next w:val="2"/>
    <w:autoRedefine/>
    <w:semiHidden/>
    <w:unhideWhenUsed/>
    <w:qFormat/>
    <w:uiPriority w:val="99"/>
    <w:pPr>
      <w:ind w:firstLine="420" w:firstLineChars="100"/>
    </w:pPr>
    <w:rPr>
      <w:kern w:val="2"/>
    </w:rPr>
  </w:style>
  <w:style w:type="table" w:styleId="10">
    <w:name w:val="Table Grid"/>
    <w:basedOn w:val="9"/>
    <w:autoRedefine/>
    <w:qFormat/>
    <w:uiPriority w:val="39"/>
    <w:rPr>
      <w:rFonts w:asciiTheme="minorHAnsi" w:hAnsiTheme="minorHAnsi" w:eastAsiaTheme="minorEastAsia" w:cstheme="minorBidi"/>
      <w:kern w:val="2"/>
      <w:sz w:val="21"/>
      <w:szCs w:val="22"/>
      <w14:ligatures w14:val="standardContextua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z正文"/>
    <w:basedOn w:val="4"/>
    <w:autoRedefine/>
    <w:qFormat/>
    <w:uiPriority w:val="99"/>
    <w:pPr>
      <w:tabs>
        <w:tab w:val="left" w:pos="525"/>
      </w:tabs>
      <w:spacing w:line="360" w:lineRule="auto"/>
    </w:pPr>
    <w:rPr>
      <w:rFonts w:hAnsi="宋体"/>
    </w:rPr>
  </w:style>
  <w:style w:type="character" w:customStyle="1" w:styleId="13">
    <w:name w:val="页眉 字符"/>
    <w:basedOn w:val="11"/>
    <w:link w:val="6"/>
    <w:autoRedefine/>
    <w:qFormat/>
    <w:uiPriority w:val="0"/>
    <w:rPr>
      <w:rFonts w:asciiTheme="minorHAnsi" w:hAnsiTheme="minorHAnsi" w:eastAsiaTheme="minorEastAsia" w:cstheme="minorBidi"/>
      <w:kern w:val="2"/>
      <w:sz w:val="18"/>
      <w:szCs w:val="18"/>
    </w:rPr>
  </w:style>
  <w:style w:type="character" w:customStyle="1" w:styleId="14">
    <w:name w:val="页脚 字符"/>
    <w:basedOn w:val="11"/>
    <w:link w:val="5"/>
    <w:autoRedefine/>
    <w:qFormat/>
    <w:uiPriority w:val="0"/>
    <w:rPr>
      <w:rFonts w:asciiTheme="minorHAnsi" w:hAnsiTheme="minorHAnsi" w:eastAsiaTheme="minorEastAsia" w:cstheme="minorBidi"/>
      <w:kern w:val="2"/>
      <w:sz w:val="18"/>
      <w:szCs w:val="18"/>
    </w:rPr>
  </w:style>
  <w:style w:type="character" w:customStyle="1" w:styleId="15">
    <w:name w:val="font51"/>
    <w:basedOn w:val="11"/>
    <w:autoRedefine/>
    <w:qFormat/>
    <w:uiPriority w:val="0"/>
    <w:rPr>
      <w:rFonts w:hint="eastAsia" w:ascii="宋体" w:hAnsi="宋体" w:eastAsia="宋体" w:cs="宋体"/>
      <w:color w:val="000000"/>
      <w:sz w:val="20"/>
      <w:szCs w:val="20"/>
      <w:u w:val="none"/>
    </w:rPr>
  </w:style>
  <w:style w:type="character" w:customStyle="1" w:styleId="16">
    <w:name w:val="font61"/>
    <w:basedOn w:val="11"/>
    <w:autoRedefine/>
    <w:qFormat/>
    <w:uiPriority w:val="0"/>
    <w:rPr>
      <w:rFonts w:hint="eastAsia" w:ascii="宋体" w:hAnsi="宋体" w:eastAsia="宋体" w:cs="宋体"/>
      <w:color w:val="FF0000"/>
      <w:sz w:val="20"/>
      <w:szCs w:val="20"/>
      <w:u w:val="none"/>
    </w:rPr>
  </w:style>
  <w:style w:type="paragraph" w:customStyle="1" w:styleId="17">
    <w:name w:val="纯文本1"/>
    <w:basedOn w:val="1"/>
    <w:autoRedefine/>
    <w:qFormat/>
    <w:uiPriority w:val="0"/>
    <w:rPr>
      <w:rFonts w:ascii="宋体" w:hAnsi="Courier Ne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5185</Words>
  <Characters>5328</Characters>
  <Lines>15</Lines>
  <Paragraphs>4</Paragraphs>
  <TotalTime>32</TotalTime>
  <ScaleCrop>false</ScaleCrop>
  <LinksUpToDate>false</LinksUpToDate>
  <CharactersWithSpaces>5401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2024-03-12T02:06:00Z</dcterms:created>
  <dc:creator>Mistletoe</dc:creator>
  <cp:lastModifiedBy>Administrator</cp:lastModifiedBy>
  <cp:lastPrinted>2024-03-19T09:29:00Z</cp:lastPrinted>
  <dcterms:modified xsi:type="dcterms:W3CDTF">2024-04-01T06:43:00Z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4018EDA8BD8D4D10A356A0E2834A5034_13</vt:lpwstr>
  </property>
</Properties>
</file>