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闽江北港公园安保服务采购项目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CGXM-2025-350103-00008[2025]00006</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[350103]JLZB[GK]2025001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福州市台江区园林中心</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福建建龙工程咨询有限公司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2025年02月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福建建龙工程咨询有限公司</w:t>
      </w:r>
      <w:r>
        <w:rPr>
          <w:rFonts w:ascii="仿宋_GB2312" w:hAnsi="仿宋_GB2312" w:cs="仿宋_GB2312" w:eastAsia="仿宋_GB2312"/>
        </w:rPr>
        <w:t xml:space="preserve"> 采用公开招标方式组织 </w:t>
      </w:r>
      <w:r>
        <w:rPr>
          <w:rFonts w:ascii="仿宋_GB2312" w:hAnsi="仿宋_GB2312" w:cs="仿宋_GB2312" w:eastAsia="仿宋_GB2312"/>
        </w:rPr>
        <w:t>闽江北港公园安保服务采购项目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CGXM-2025-350103-00008[2025]00006</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[350103]JLZB[GK]2025001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采购包1：以联合体形式参加</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以联合体形式参加</w:t>
      </w:r>
    </w:p>
    <w:p>
      <w:pPr>
        <w:pStyle w:val="null3"/>
        <w:jc w:val="left"/>
      </w:pPr>
      <w:r>
        <w:rPr>
          <w:rFonts w:ascii="仿宋_GB2312" w:hAnsi="仿宋_GB2312" w:cs="仿宋_GB2312" w:eastAsia="仿宋_GB2312"/>
        </w:rPr>
        <w:t>预留比例：</w:t>
      </w:r>
      <w:r>
        <w:rPr>
          <w:rFonts w:ascii="仿宋_GB2312" w:hAnsi="仿宋_GB2312" w:cs="仿宋_GB2312" w:eastAsia="仿宋_GB2312"/>
        </w:rPr>
        <w:t>40%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保安服务许可证</w:t>
            </w:r>
          </w:p>
        </w:tc>
        <w:tc>
          <w:tcPr>
            <w:tcW w:type="dxa" w:w="4614"/>
          </w:tcPr>
          <w:p>
            <w:pPr>
              <w:pStyle w:val="null3"/>
              <w:jc w:val="both"/>
            </w:pPr>
            <w:r>
              <w:rPr>
                <w:rFonts w:ascii="仿宋_GB2312" w:hAnsi="仿宋_GB2312" w:cs="仿宋_GB2312" w:eastAsia="仿宋_GB2312"/>
              </w:rPr>
              <w:t>投标人须具有公安部门颁发的《保安服务许可证》，须提供有效期内的证书复印件。投标人为联合体的，联合体各方均需具备。</w:t>
            </w:r>
          </w:p>
        </w:tc>
      </w:tr>
      <w:tr>
        <w:tc>
          <w:tcPr>
            <w:tcW w:type="dxa" w:w="3692"/>
          </w:tcPr>
          <w:p>
            <w:pPr>
              <w:pStyle w:val="null3"/>
              <w:jc w:val="both"/>
            </w:pPr>
            <w:r>
              <w:rPr>
                <w:rFonts w:ascii="仿宋_GB2312" w:hAnsi="仿宋_GB2312" w:cs="仿宋_GB2312" w:eastAsia="仿宋_GB2312"/>
              </w:rPr>
              <w:t>预留面向中小企业采购金额</w:t>
            </w:r>
          </w:p>
        </w:tc>
        <w:tc>
          <w:tcPr>
            <w:tcW w:type="dxa" w:w="4614"/>
          </w:tcPr>
          <w:p>
            <w:pPr>
              <w:pStyle w:val="null3"/>
              <w:jc w:val="both"/>
            </w:pPr>
            <w:r>
              <w:rPr>
                <w:rFonts w:ascii="仿宋_GB2312" w:hAnsi="仿宋_GB2312" w:cs="仿宋_GB2312" w:eastAsia="仿宋_GB2312"/>
              </w:rPr>
              <w:t>本项目预留面向中小企业采购金额为185.328万元（即预算金额的40%），其中预留给小微企业的比例为60%（即预算金额的24%）。投标人为非联合体的，则投标人须为小微企业，并提供《中小企业声明函》；投标人为联合体的，联合体至少一方为小微企业，并提供该联合体方的《中小企业声明函》，同时须在“联合体协议”中明确由中小企业成员方承担的“工作及义务的具体内容”的金额不少于其投标价格的40%（其中小微企业成员方承担的“工作及义务的具体内容”的金额不少于其投标价格的24%），并注明由联合体的哪一方参与技术商务部分的评分。组成联合体的的中小企业与联合体内其他企业之间不得存在直接控股、管理关系。</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项目预留面向中小企业采购金额为185.328万元（即预算金额的40%），其中预留给小微企业的比例为60%（即预算金额的24%）。本项目接受联合体投标，投标人为非联合体的，则投标人须为小微企业，提供《中小企业声明函》；投标人为联合体的，联合体至少一方为小微企业，并提供该联合体方的《中小企业声明函》，同时须在“联合体协议”中明确由中小企业成员方承担的“工作及义务的具体内容”的金额不少于其投标价格的40%（其中小微企业成员方承担的“工作及义务的具体内容”的金额不少于其投标价格的24%）。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福州市台江区园林中心</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台江区闽江公园金沙园内</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郑思捷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0591-87663509</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福建建龙工程咨询有限公司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湖东路298号伊法达大厦5层</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350003</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黄少华</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13067430168</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福建建龙工程咨询有限公司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4,633,200.00</w:t>
      </w:r>
    </w:p>
    <w:p>
      <w:pPr>
        <w:pStyle w:val="null3"/>
        <w:jc w:val="left"/>
      </w:pPr>
      <w:r>
        <w:rPr>
          <w:rFonts w:ascii="仿宋_GB2312" w:hAnsi="仿宋_GB2312" w:cs="仿宋_GB2312" w:eastAsia="仿宋_GB2312"/>
        </w:rPr>
        <w:t>采购包最高限价（元）: 4,633,200.00</w:t>
      </w:r>
    </w:p>
    <w:p>
      <w:pPr>
        <w:pStyle w:val="null3"/>
        <w:jc w:val="left"/>
      </w:pPr>
      <w:r>
        <w:rPr>
          <w:rFonts w:ascii="仿宋_GB2312" w:hAnsi="仿宋_GB2312" w:cs="仿宋_GB2312" w:eastAsia="仿宋_GB2312"/>
        </w:rPr>
        <w:t>采购包保证金金额（元）: 46,332.00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闽江北港公园安保服务采购项目</w:t>
            </w:r>
          </w:p>
        </w:tc>
        <w:tc>
          <w:tcPr>
            <w:tcW w:type="dxa" w:w="1187"/>
          </w:tcPr>
          <w:p>
            <w:pPr>
              <w:pStyle w:val="null3"/>
              <w:jc w:val="right"/>
            </w:pPr>
            <w:r>
              <w:rPr>
                <w:rFonts w:ascii="仿宋_GB2312" w:hAnsi="仿宋_GB2312" w:cs="仿宋_GB2312" w:eastAsia="仿宋_GB2312"/>
              </w:rPr>
              <w:t>3.00</w:t>
            </w:r>
          </w:p>
        </w:tc>
        <w:tc>
          <w:tcPr>
            <w:tcW w:type="dxa" w:w="1187"/>
          </w:tcPr>
          <w:p>
            <w:pPr>
              <w:pStyle w:val="null3"/>
              <w:jc w:val="right"/>
            </w:pPr>
            <w:r>
              <w:rPr>
                <w:rFonts w:ascii="仿宋_GB2312" w:hAnsi="仿宋_GB2312" w:cs="仿宋_GB2312" w:eastAsia="仿宋_GB2312"/>
              </w:rPr>
              <w:t>4,633,200.00</w:t>
            </w:r>
          </w:p>
        </w:tc>
        <w:tc>
          <w:tcPr>
            <w:tcW w:type="dxa" w:w="1187"/>
          </w:tcPr>
          <w:p>
            <w:pPr>
              <w:pStyle w:val="null3"/>
              <w:jc w:val="left"/>
            </w:pPr>
            <w:r>
              <w:rPr>
                <w:rFonts w:ascii="仿宋_GB2312" w:hAnsi="仿宋_GB2312" w:cs="仿宋_GB2312" w:eastAsia="仿宋_GB2312"/>
              </w:rPr>
              <w:t>年</w:t>
            </w:r>
          </w:p>
        </w:tc>
        <w:tc>
          <w:tcPr>
            <w:tcW w:type="dxa" w:w="1187"/>
          </w:tcPr>
          <w:p>
            <w:pPr>
              <w:pStyle w:val="null3"/>
              <w:jc w:val="left"/>
            </w:pPr>
            <w:r>
              <w:rPr>
                <w:rFonts w:ascii="仿宋_GB2312" w:hAnsi="仿宋_GB2312" w:cs="仿宋_GB2312" w:eastAsia="仿宋_GB2312"/>
              </w:rPr>
              <w:t>租赁和商务服务业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闽江北港公园安保服务采购项目</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4,633,200.00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闽江北港公园安保服务采购项目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闽江北港公园安保服务采购项目</w:t>
            </w:r>
          </w:p>
        </w:tc>
        <w:tc>
          <w:tcPr>
            <w:tcW w:type="dxa" w:w="2076"/>
          </w:tcPr>
          <w:p>
            <w:pPr>
              <w:pStyle w:val="null3"/>
              <w:jc w:val="left"/>
            </w:pPr>
            <w:r>
              <w:rPr>
                <w:rFonts w:ascii="仿宋_GB2312" w:hAnsi="仿宋_GB2312" w:cs="仿宋_GB2312" w:eastAsia="仿宋_GB2312"/>
              </w:rPr>
              <w:t>闽江北港公园安保服务采购项目</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4,633,200.00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福建建龙工程咨询有限公司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福州市台江区财政局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代理服务费收费标准：以成交金额为计算基数，依据差额定率累进法计算，具体按以下标准：[0元-100万元] 按1.5%计算，[100万元-500万元]按0.8%计算；中标/成交人须在领取中标通知书前以转账、支票、现金等付款方式一次性付清。 招标代理服务费帐户： 开户银行：中国民生银行股份有限公司福州分行营业部 开户名称：福建建龙工程咨询有限公司福州分公司 帐号：640031784</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福建建龙工程咨询有限公司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福建建龙工程咨询有限公司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福建建龙工程咨询有限公司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福建建龙工程咨询有限公司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福建建龙工程咨询有限公司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福建建龙工程咨询有限公司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福建建龙工程咨询有限公司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福建建龙工程咨询有限公司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福建建龙工程咨询有限公司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福建建龙工程咨询有限公司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福建建龙工程咨询有限公司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福建建龙工程咨询有限公司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福建建龙工程咨询有限公司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福建建龙工程咨询有限公司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福建建龙工程咨询有限公司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福建建龙工程咨询有限公司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福建建龙工程咨询有限公司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福建建龙工程咨询有限公司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福建建龙工程咨询有限公司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福建建龙工程咨询有限公司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福建建龙工程咨询有限公司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福建建龙工程咨询有限公司</w:t>
      </w:r>
      <w:r>
        <w:rPr>
          <w:rFonts w:ascii="仿宋_GB2312" w:hAnsi="仿宋_GB2312" w:cs="仿宋_GB2312" w:eastAsia="仿宋_GB2312"/>
        </w:rPr>
        <w:t xml:space="preserve"> 提出询问， </w:t>
      </w:r>
      <w:r>
        <w:rPr>
          <w:rFonts w:ascii="仿宋_GB2312" w:hAnsi="仿宋_GB2312" w:cs="仿宋_GB2312" w:eastAsia="仿宋_GB2312"/>
        </w:rPr>
        <w:t>福建建龙工程咨询有限公司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福建建龙工程咨询有限公司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福建建龙工程咨询有限公司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由福建建龙工程咨询有限公司派出的工作人员至少1人，</w:t>
      </w:r>
      <w:r>
        <w:rPr>
          <w:rFonts w:ascii="仿宋_GB2312" w:hAnsi="仿宋_GB2312" w:cs="仿宋_GB2312" w:eastAsia="仿宋_GB2312"/>
        </w:rPr>
        <w:t>其余1人可为采购人代表或福建建龙工程咨询有限公司的工作人员。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保安服务许可证</w:t>
            </w:r>
          </w:p>
        </w:tc>
        <w:tc>
          <w:tcPr>
            <w:tcW w:type="dxa" w:w="4614"/>
          </w:tcPr>
          <w:p>
            <w:pPr>
              <w:pStyle w:val="null3"/>
              <w:jc w:val="left"/>
            </w:pPr>
            <w:r>
              <w:rPr>
                <w:rFonts w:ascii="仿宋_GB2312" w:hAnsi="仿宋_GB2312" w:cs="仿宋_GB2312" w:eastAsia="仿宋_GB2312"/>
              </w:rPr>
              <w:t>投标人须具有公安部门颁发的《保安服务许可证》，须提供有效期内的证书复印件。投标人为联合体的，联合体各方均需具备。</w:t>
            </w:r>
          </w:p>
        </w:tc>
      </w:tr>
      <w:tr>
        <w:tc>
          <w:tcPr>
            <w:tcW w:type="dxa" w:w="3692"/>
          </w:tcPr>
          <w:p>
            <w:pPr>
              <w:pStyle w:val="null3"/>
              <w:jc w:val="left"/>
            </w:pPr>
            <w:r>
              <w:rPr>
                <w:rFonts w:ascii="仿宋_GB2312" w:hAnsi="仿宋_GB2312" w:cs="仿宋_GB2312" w:eastAsia="仿宋_GB2312"/>
              </w:rPr>
              <w:t>预留面向中小企业采购金额</w:t>
            </w:r>
          </w:p>
        </w:tc>
        <w:tc>
          <w:tcPr>
            <w:tcW w:type="dxa" w:w="4614"/>
          </w:tcPr>
          <w:p>
            <w:pPr>
              <w:pStyle w:val="null3"/>
              <w:jc w:val="left"/>
            </w:pPr>
            <w:r>
              <w:rPr>
                <w:rFonts w:ascii="仿宋_GB2312" w:hAnsi="仿宋_GB2312" w:cs="仿宋_GB2312" w:eastAsia="仿宋_GB2312"/>
              </w:rPr>
              <w:t>本项目预留面向中小企业采购金额为185.328万元（即预算金额的40%），其中预留给小微企业的比例为60%（即预算金额的24%）。投标人为非联合体的，则投标人须为小微企业，并提供《中小企业声明函》；投标人为联合体的，联合体至少一方为小微企业，并提供该联合体方的《中小企业声明函》，同时须在“联合体协议”中明确由中小企业成员方承担的“工作及义务的具体内容”的金额不少于其投标价格的40%（其中小微企业成员方承担的“工作及义务的具体内容”的金额不少于其投标价格的24%），并注明由联合体的哪一方参与技术商务部分的评分。组成联合体的的中小企业与联合体内其他企业之间不得存在直接控股、管理关系。</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项目预留面向中小企业采购金额为185.328万元（即预算金额的40%），其中预留给小微企业的比例为60%（即预算金额的24%）。本项目接受联合体投标，投标人为非联合体的，则投标人须为小微企业，提供《中小企业声明函》；投标人为联合体的，联合体至少一方为小微企业，并提供该联合体方的《中小企业声明函》，同时须在“联合体协议”中明确由中小企业成员方承担的“工作及义务的具体内容”的金额不少于其投标价格的40%（其中小微企业成员方承担的“工作及义务的具体内容”的金额不少于其投标价格的24%）。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福建建龙工程咨询有限公司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福建建龙工程咨询有限公司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福建建龙工程咨询有限公司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福建建龙工程咨询有限公司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福建建龙工程咨询有限公司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技术商务部分中不得出现报价部分的全部或部分的投标报价信息（或组成资料），否则视为投标无效。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未按招标文件第七章要求提供《技术和服务要求响应表》的，视为投标无效。</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技术商务部分中不得出现报价部分的全部或部分的投标报价信息（或组成资料），否则视为投标无效。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未按招标文件第七章要求提供《商务条件响应表》的，视为投标无效。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投标人提供的商务条件均不得低于招标文件“商务条件”要求，否则视为投标无效。</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福建建龙工程咨询有限公司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价格项（F1×A1）满分为25.0000分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技术项（F2×A2）满分为51.0000分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1服务管理方案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制定的保安服务管理方案情况由评委进行评议并打分：方案应包括但不限于：①详细的人员配置方案和配置说明②详细的保安服务工作流程及工作内容方案③保安服务预期目标，并且有达到预期目标的保障措施和考核标准。方案包含的要点齐全无缺漏项、内容与要点相符、每个要点均有展开详细的阐述且完全适用本项目的得3分；方案所包含的要点齐全、内容与要点相符、每个要点均有展开阐述且能够适用本项目的得2.9分；方案所包含的要点有缺漏、内容与要点相符但纲要、内容简略未展开阐述、基本适用本项目的得2.8分；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2考核办法、奖惩措施、队伍管理考核方案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制定的根据工作需要制定科学的考核办法、奖惩措施、队伍管理考核方案，由评委进行评分:方案包含的要点齐全无缺漏项、内容与要点相符、每个要点均有展开详细的阐述、整体思路结构清晰、逻辑性强，内容描述科学合理，细节考虑周全且全部能够适用于本项目的得3分;方案所包含的要点齐全、内容与要点相符、每个要点均有展开阐述(没有特别具体)、整体思路结构较清晰、逻辑性较强，内容描述较科学合理，细节考虑较周全且大部分能够适用于本项目的得2.9分;方案所包含的要点齐全、内容与要点相符但仅有纲要、内容简略，未展开详细阐述且小部分能够适用于本项目的得2.8分;方案未提供或内容全部错误、全部不适用于本项目需求的得0分。</w:t>
            </w:r>
          </w:p>
        </w:tc>
      </w:tr>
      <w:tr>
        <w:tc>
          <w:tcPr>
            <w:tcW w:type="dxa" w:w="3322"/>
          </w:tcPr>
          <w:p>
            <w:pPr>
              <w:pStyle w:val="null3"/>
              <w:jc w:val="both"/>
            </w:pPr>
            <w:r>
              <w:rPr>
                <w:rFonts w:ascii="仿宋_GB2312" w:hAnsi="仿宋_GB2312" w:cs="仿宋_GB2312" w:eastAsia="仿宋_GB2312"/>
              </w:rPr>
              <w:t>3公司日常管理制度</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项目提供的公司日常管理制度，包括但不限于：①保安考勤管理制度；②保安日常行为规范；③保安工作现场管理制度；④保安人事管理制度等；⑤文明服务规章制度；由评委进行评分：方案包含的要点齐全无缺漏项、内容与要点相符、每个要点均有展开详细的阐述且完全适用本项目的得3分；方案所包含的要点齐全、内容与要点相符、每个要点均有展开阐述且能够适用本项目的得2.9分；方案所包含的要点有缺漏、内容与要点相符但纲要、内容简略未展开阐述、基本适用本项目的得2.8分；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4保安缺编时管理预案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项目提供的项目保安人员由于辞退、离职等原因导致缺编时的管理预案，包括但不限于①紧急人员调配机制；②招聘与培训新员工方案；③明确缺编保安临时顶替人员到岗时限、重新招聘保安到岗时限等，由评委进行评分：方案包含的要点齐全无缺漏项、内容与要点相符、每个要点均有展开详细的阐述且完全适用本项目的得3分；方案所包含的要点齐全、内容与要点相符、每个要点均有展开阐述且能够适用本项目的得2.9分；方案所包含的要点有缺漏、内容与要点相符但纲要、内容简略未展开阐述、基本适用本项目的得2.8分；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5各项安全管理方案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应具有各项健全的安全管理方案（主要包括日常管理制度及维护作业时和发生事故时的安全组织和安全防护措施，以及各项紧急预案）能满足公园日常需要，内容包括但不限于：①防盗窃；②突发事件处置；③接待任务时期的安保；④人员疏散等（上述预案仅需提供预案文档，防火、防溺水、抗台防汛、防恐作为公园安全防范重要内容另行详细考核)，由评委进行评分：方案包含的要点齐全无缺漏项、内容与要点相符、每个要点均有展开详细的阐述且完全适用本项目的得3分；方案所包含的要点齐全、内容与要点相符、每个要点均有展开阐述且能够适用本项目的得2.9分；方案所包含的要点有缺漏、内容与要点相符但纲要、内容简略未展开阐述、基本适用本项目的得2.8分；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6节假日、重大节日、重大活动、花展等重大活动的保障措施</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项目提供的节日、假期和重大活动的保障措施，包括但不限于：①节假日保障措施；②重大节日保障措施；③重大活动保障措施等，由评委进行评分：方案包含的要点齐全无缺漏项、内容与要点相符、每个要点均有展开详细的阐述且完全适用本项目的得3分；方案所包含的要点齐全、内容与要点相符、每个要点均有展开阐述且能够适用本项目的得2.9分；方案所包含的要点有缺漏、内容与要点相符但纲要、内容简略未展开阐述、基本适用本项目的得2.8分；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7公园基础设备维护工作方案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制定的公园基础设备维护工作方案（包含各类公园各类基础设施，供水设施及电力设施等）①详细的定期巡检及维护保养方案②详细的设备维修工作流程及内容③达到预期目标的保障措施和考核标准。包括由评委进行评分：方案包含的要点齐全无缺漏项、内容与要点相符、每个要点均有展开详细的阐述且完全适用本项目的得3分；方案所包含的要点齐全、内容与要点相符、每个要点均有展开阐述且能够适用本项目的得2.9分；方案所包含的要点有缺漏、内容与要点相符但纲要、内容简略未展开阐述、基本适用本项目的得2.8分；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8防火预案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应具有健全的防火预案，并定期开展预案演练，须提供防火预案和（2022年1月1日至投标截止时间止）任意两次演练相关图文记录（图文记录中须体现投标人相关信息，每次演练图片至少三张）。投标人根据本项目项目性质、公园的地形等情况针对性地制定符合项目特点的防火和火灾处置方案，内容包括但不限于：①火灾预防方案；②火灾处理方案；③承诺定期开展演练等，由评委进行评分：方案包含的要点齐全无缺漏项、内容与要点相符、每个要点均有展开详细的阐述且完全适用本项目的得3分；方案所包含的要点齐全、内容与要点相符、每个要点均有展开阐述且能够适用本项目的得2.9分；方案所包含的要点有缺漏、内容与要点相符但纲要、内容简略未展开阐述、基本适用本项目的得2.8分；未提供或内容存在明显错误、内容明显不适用于本项目需求的均不得分。未提供演练相关图文记录、未承诺定期开展演练的均不得分。</w:t>
            </w:r>
          </w:p>
        </w:tc>
      </w:tr>
      <w:tr>
        <w:tc>
          <w:tcPr>
            <w:tcW w:type="dxa" w:w="3322"/>
          </w:tcPr>
          <w:p>
            <w:pPr>
              <w:pStyle w:val="null3"/>
              <w:jc w:val="both"/>
            </w:pPr>
            <w:r>
              <w:rPr>
                <w:rFonts w:ascii="仿宋_GB2312" w:hAnsi="仿宋_GB2312" w:cs="仿宋_GB2312" w:eastAsia="仿宋_GB2312"/>
              </w:rPr>
              <w:t>9抗台防汛预案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应具有健全的抗台防汛预案，并定期开展预案演练，须提供抗台防汛预案和（2022年1月1日至投标截止时间止）任意两次演练相关图文记录（图文记录中须体现投标人相关信息，每次演练图片至少三张）。投标人根据本项目项目性质、公园的地形等情况针对性地制定符合项目特点的抗台防汛方案，内容包括但不限于：①物资准备；②抗台防汛期间的巡逻与监测；③应急处置；④灾后的恢复与总结等，由评委进行评分：方案包含的要点齐全无缺漏项、内容与要点相符、每个要点均有展开详细的阐述且完全适用本项目的得3分；方案所包含的要点齐全、内容与要点相符、每个要点均有展开阐述且能够适用本项目的得2.9分；方案所包含的要点有缺漏、内容与要点相符但纲要、内容简略未展开阐述、基本适用本项目的得2.8分；未提供或内容存在明显错误、内容明显不适用于本项目需求的均不得分。未提供演练相关图文记录、未承诺定期开展演练的均不得分。</w:t>
            </w:r>
          </w:p>
        </w:tc>
      </w:tr>
      <w:tr>
        <w:tc>
          <w:tcPr>
            <w:tcW w:type="dxa" w:w="3322"/>
          </w:tcPr>
          <w:p>
            <w:pPr>
              <w:pStyle w:val="null3"/>
              <w:jc w:val="both"/>
            </w:pPr>
            <w:r>
              <w:rPr>
                <w:rFonts w:ascii="仿宋_GB2312" w:hAnsi="仿宋_GB2312" w:cs="仿宋_GB2312" w:eastAsia="仿宋_GB2312"/>
              </w:rPr>
              <w:t>10群体性突发事件应急预案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项目提供的群体性突发事件应急预案:包括打架斗殴、集会踩踏、聚众闹事，由评委进行评分:方案包含的要点齐全无缺漏项、内容与要点相符、每个要点均有展开详细的阐述、整体思路结构清晰、逻辑性强，内容描述科学合理，细节考虑周全且全部能够适用于本项目的得3分;方案所包含的要点齐全、内容与要点相符、每个要点均有展开阐述(没有特别具体)、整体思路结构较清晰、逻辑性较强，内容描述较科学合理，细节考虑较周全且大部分能够适用于本项目的得2.9分;方案所包含的要点齐全、内容与要点相符但仅有纲要、内容简略，未展开详细阐述且小部分能够适用于本项目的得2.8分;方案未提供或内容全部错误、全部不适用于本项目需求的得0分。</w:t>
            </w:r>
          </w:p>
        </w:tc>
      </w:tr>
      <w:tr>
        <w:tc>
          <w:tcPr>
            <w:tcW w:type="dxa" w:w="3322"/>
          </w:tcPr>
          <w:p>
            <w:pPr>
              <w:pStyle w:val="null3"/>
              <w:jc w:val="both"/>
            </w:pPr>
            <w:r>
              <w:rPr>
                <w:rFonts w:ascii="仿宋_GB2312" w:hAnsi="仿宋_GB2312" w:cs="仿宋_GB2312" w:eastAsia="仿宋_GB2312"/>
              </w:rPr>
              <w:t>11防溺水预案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具有健全的防溺水预案，并定期开展预案演练，须提供防溺水预案和（2022年1月1日至投标截止时间止）任意两次演练相关图文记录（图文记录中须体现投标人相关信息，每次演练图片至少三张）。投标人根据本项目项目性质、公园的地形等情况针对性地制定符合项目特点的防溺水方案，方案包括但不限于：①水域巡逻与监管；②发生溺水紧急情况应急响应机制；③溺水紧急情况报告与记录制度；③事后总结与优化等，由评委进行评分：方案包含的要点齐全无缺漏项、内容与要点相符、每个要点均有展开详细的阐述且完全适用本项目的得3分；方案所包含的要点齐全、内容与要点相符、每个要点均有展开阐述且能够适用本项目的得2.9分；方案所包含的要点有缺漏、内容与要点相符但纲要、内容简略未展开阐述、基本适用本项目的得2.8分；未提供或内容存在明显错误、内容明显不适用于本项目需求的均不得分。未提供演练相关图文记录、未承诺定期开展演练的均不得分。</w:t>
            </w:r>
          </w:p>
        </w:tc>
      </w:tr>
      <w:tr>
        <w:tc>
          <w:tcPr>
            <w:tcW w:type="dxa" w:w="3322"/>
          </w:tcPr>
          <w:p>
            <w:pPr>
              <w:pStyle w:val="null3"/>
              <w:jc w:val="both"/>
            </w:pPr>
            <w:r>
              <w:rPr>
                <w:rFonts w:ascii="仿宋_GB2312" w:hAnsi="仿宋_GB2312" w:cs="仿宋_GB2312" w:eastAsia="仿宋_GB2312"/>
              </w:rPr>
              <w:t>12噪音控制管理方案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项目提供的噪音控制管理方案，包括但不限于：①现场噪音情况分析；②噪音控制管理方案；③噪音扰民投诉处理机制等，由评委进行评分：方案包含的要点齐全无缺漏项、内容与要点相符、每个要点均有展开详细的阐述且完全适用本项目的得3分；方案所包含的要点齐全、内容与要点相符、每个要点均有展开阐述且能够适用本项目的得2.9分；方案所包含的要点有缺漏、内容与要点相符但纲要、内容简略未展开阐述、基本适用本项目的得2.8分；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13针对各类不文明行为的管理措施</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项目出现的各类不文明行为（损坏苗木设施、躺卧、车辆未经允许入园、捕钓鱼、携带犬只宠物入园等）的管理措施，由评委进行评分：方案包含的要点齐全无缺漏项、内容与要点相符、每个要点均有展开详细的阐述且完全适用本项目的得3分；方案所包含的要点齐全、内容与要点相符、每个要点均有展开阐述且能够适用本项目的得2.9分；方案所包含的要点有缺漏、内容与要点相符但纲要、内容简略未展开阐述、基本适用本项目的得2.8分；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14对媒体曝光、游客投诉及12345和数字城管件等的处理方案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制定的对媒体曝光、游客投诉及12345和数字城管件等的处理方案进行评分，方案应包含三部分内容：①媒体曝光处理方案②游客投诉处理方案③12345和数字城管件处理方案。方案包含的要点齐全无缺漏项、内容与要点相符、每个要点均有展开详细的阐述且完全适用本项目的得3分；方案所包含的要点齐全、内容与要点相符、每个要点均有展开阐述且能够适用本项目的得2.9分；方案所包含的要点有缺漏、内容与要点相符但纲要、内容简略未展开阐述、基本适用本项目的得2.8分；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15保安执勤装备、防护装备的配置</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承诺拟投入本项目的保安执勤装备、防护装备包含但不限于：防爆盾、橡胶警棍、防爆钢叉、强光手电、执法记录仪、防割手套的得3分。提供承诺函（格式自拟，须在承诺函中列出装备清单，否则不得分），未提供不得分。</w:t>
            </w:r>
          </w:p>
        </w:tc>
      </w:tr>
      <w:tr>
        <w:tc>
          <w:tcPr>
            <w:tcW w:type="dxa" w:w="3322"/>
          </w:tcPr>
          <w:p>
            <w:pPr>
              <w:pStyle w:val="null3"/>
              <w:jc w:val="both"/>
            </w:pPr>
            <w:r>
              <w:rPr>
                <w:rFonts w:ascii="仿宋_GB2312" w:hAnsi="仿宋_GB2312" w:cs="仿宋_GB2312" w:eastAsia="仿宋_GB2312"/>
              </w:rPr>
              <w:t>16防恐预案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具有健全的防恐预案，并定期开展预案演练，须提供防恐预案和（2022年1月1日至投标截止时间止）任意两次演练相关图文记录（图文记录中须体现投标人相关信息，每次演练图片至少三张）。投标人根据本项目项目性质、公园的地形等情况针对性地制定符合项目特点的防恐处置方案，内容包括但不限于：①反恐防暴应急机制；②安全防范具体措施；③事后总结与优化等，由评委进行评分：方案包含的要点齐全无缺漏项、内容与要点相符、每个要点均有展开详细的阐述且完全适用本项目的得3分；方案所包含的要点齐全、内容与要点相符、每个要点均有展开阐述且能够适用本项目的得2.9分；方案所包含的要点有缺漏、内容与要点相符但纲要、内容简略未展开阐述、基本适用本项目的得2.8分；未提供或内容存在明显错误、内容明显不适用于本项目需求的均不得分。未提供演练相关图文记录、未承诺定期开展演练的均不得分。</w:t>
            </w:r>
          </w:p>
        </w:tc>
      </w:tr>
      <w:tr>
        <w:tc>
          <w:tcPr>
            <w:tcW w:type="dxa" w:w="3322"/>
          </w:tcPr>
          <w:p>
            <w:pPr>
              <w:pStyle w:val="null3"/>
              <w:jc w:val="both"/>
            </w:pPr>
            <w:r>
              <w:rPr>
                <w:rFonts w:ascii="仿宋_GB2312" w:hAnsi="仿宋_GB2312" w:cs="仿宋_GB2312" w:eastAsia="仿宋_GB2312"/>
              </w:rPr>
              <w:t>17投标人缴交保险情况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承诺为本项目拟投入人员按下述标准购买个人意外险或雇主责任险，其中30万元≤单人次作业人员死亡伤残赔付限额＜50万元的得1分，50万元≤单人次作业人员死亡伤残赔付限额＜100万元的得2分，单人次作业人员死亡伤残赔付限额≥100万元的得3分。投标人须提供为本项目拟投入人员购买保险的承诺函（格式自拟，需含拟购保险的标准），否则不得分。（满分3分）</w:t>
            </w:r>
          </w:p>
        </w:tc>
      </w:tr>
    </w:tbl>
    <w:p>
      <w:pPr>
        <w:pStyle w:val="null3"/>
        <w:jc w:val="both"/>
      </w:pPr>
      <w:r>
        <w:rPr>
          <w:rFonts w:ascii="仿宋_GB2312" w:hAnsi="仿宋_GB2312" w:cs="仿宋_GB2312" w:eastAsia="仿宋_GB2312"/>
        </w:rPr>
        <w:t>商务项（F3×A3）满分为24.0000分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1-1保安队长1</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投标人拟投入本项目的保安队长1由评委进行评分：①具有5年≤保安管理工作经验或3年≤同类项目管理工作经验的得1分；②具有保安员三级及以上职业资格证书的得1分【注：投标人须提供三级及以上保安员证书复印件及其在技能人才全国联网(http：//zscx.osta.org.cn/)查询网站的下载网页及网址、投标截止时间前六个月内（不含投标截止时间当月）任意一个月由投标人为其缴纳社保证明材料及保安管理工作经验或同类项目管理工作经验证明材料（证明材料中须体现年限）；以上证明材料未提供或提供不全的不得分。（所有评分项提供的人员不可重复提供，重复提供不得分）</w:t>
            </w:r>
          </w:p>
        </w:tc>
      </w:tr>
      <w:tr>
        <w:tc>
          <w:tcPr>
            <w:tcW w:type="dxa" w:w="3322"/>
          </w:tcPr>
          <w:p>
            <w:pPr>
              <w:pStyle w:val="null3"/>
              <w:jc w:val="both"/>
            </w:pPr>
            <w:r>
              <w:rPr>
                <w:rFonts w:ascii="仿宋_GB2312" w:hAnsi="仿宋_GB2312" w:cs="仿宋_GB2312" w:eastAsia="仿宋_GB2312"/>
              </w:rPr>
              <w:t>1-2保安队长2</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投标人拟投入本项目的保安队长2由评委进行评分：①具有5年≤保安管理工作经验或3年≤同类项目管理工作经验的得1分；②具有保安员三级及以上职业资格证书的得1分【注：投标人须提供三级及以上保安员证书复印件及其在技能人才全国联网(http：//zscx.osta.org.cn/)查询网站的下载网页及网址、投标截止时间前六个月内（不含投标截止时间当月）任意一个月由投标人为其缴纳社保证明材料及保安管理工作经验或同类项目管理工作经验证明材料（证明材料中须体现年限）；以上证明材料未提供或提供不全的不得分。（所有评分项提供的人员不可重复提供，重复提供不得分）</w:t>
            </w:r>
          </w:p>
        </w:tc>
      </w:tr>
      <w:tr>
        <w:tc>
          <w:tcPr>
            <w:tcW w:type="dxa" w:w="3322"/>
          </w:tcPr>
          <w:p>
            <w:pPr>
              <w:pStyle w:val="null3"/>
              <w:jc w:val="both"/>
            </w:pPr>
            <w:r>
              <w:rPr>
                <w:rFonts w:ascii="仿宋_GB2312" w:hAnsi="仿宋_GB2312" w:cs="仿宋_GB2312" w:eastAsia="仿宋_GB2312"/>
              </w:rPr>
              <w:t>2电工</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各投标人拟投入保安人员中同时具有行政主管部门颁发的特种作业操作证（低压电工作业）及特种作业操作证（高压电工作业）的每提供1人得1分，满分2分【注：投标人须同时提供有效身份证复印件、高、低压电工证、投标截止时间前六个月内（不含投标截止时间当月）任意一个月由投标人为其缴纳社保证明材料】以上证明材料未提供或提供不全的不得分。或出具聘请电工承诺函，每承诺聘请一名同时具有行政主管部门颁发的特种作业操作证（低压电工作业）及特种作业操作证（高压电工作业）得0.5分，最多得1分。（所有评分项提供的人员不可重复提供，重复提供不得分）</w:t>
            </w:r>
          </w:p>
        </w:tc>
      </w:tr>
      <w:tr>
        <w:tc>
          <w:tcPr>
            <w:tcW w:type="dxa" w:w="3322"/>
          </w:tcPr>
          <w:p>
            <w:pPr>
              <w:pStyle w:val="null3"/>
              <w:jc w:val="both"/>
            </w:pPr>
            <w:r>
              <w:rPr>
                <w:rFonts w:ascii="仿宋_GB2312" w:hAnsi="仿宋_GB2312" w:cs="仿宋_GB2312" w:eastAsia="仿宋_GB2312"/>
              </w:rPr>
              <w:t>3救生员证</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拟投入本项目保安人员中具有游泳救生能力，且持有国家人力资源和社会保障部或国家体育总局颁发的游泳救生员证书的，每提供一份得1分，满分3分。须提供持证人员身份证复印件、游泳救生员证复印件及投标截止时间前六个月内（不含投标截止时间当月）任意一月份投标人为其缴纳社保的证明材料复印件，未提供或提供不全的不得分。（本项提供的人员不与其它项人员重复评分）</w:t>
            </w:r>
          </w:p>
        </w:tc>
      </w:tr>
      <w:tr>
        <w:tc>
          <w:tcPr>
            <w:tcW w:type="dxa" w:w="3322"/>
          </w:tcPr>
          <w:p>
            <w:pPr>
              <w:pStyle w:val="null3"/>
              <w:jc w:val="both"/>
            </w:pPr>
            <w:r>
              <w:rPr>
                <w:rFonts w:ascii="仿宋_GB2312" w:hAnsi="仿宋_GB2312" w:cs="仿宋_GB2312" w:eastAsia="仿宋_GB2312"/>
              </w:rPr>
              <w:t>4建(构)筑物消防员证书或消防设施操作员证书</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拟投入本项目安保人员中具有相关主管部门颁发的建(构)筑物消防员证书或消防设施操作员证书每提供1名得0.5分，满分3分。须提供持证人员身份证复印件、相关主管部门颁发的建(构)筑物消防员证书或消防设施操作员证书复印件及投标截止时间前六个月内（不含投标截止时间当月）任意一月份投标人为其缴纳社保的证明材料复印件，未提供或提供不全的不得分。（本项提供的人员不与其它项人员重复评分）</w:t>
            </w:r>
          </w:p>
        </w:tc>
      </w:tr>
      <w:tr>
        <w:tc>
          <w:tcPr>
            <w:tcW w:type="dxa" w:w="3322"/>
          </w:tcPr>
          <w:p>
            <w:pPr>
              <w:pStyle w:val="null3"/>
              <w:jc w:val="both"/>
            </w:pPr>
            <w:r>
              <w:rPr>
                <w:rFonts w:ascii="仿宋_GB2312" w:hAnsi="仿宋_GB2312" w:cs="仿宋_GB2312" w:eastAsia="仿宋_GB2312"/>
              </w:rPr>
              <w:t>5保安人员</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拟投入本项目的保安人员中具有五级（含）以上应急救援员证书或红十字会颁发的救护员证书每提供1人的得0.5分，满分3分。【注：投标人须同时提供有效身份证复印件、五级（含）以上应急救援员证书复印件及其在技能人才全国联网(http：//zscx.osta.org.cn/)查询网站的下载网页及网址、救护员证书复印件、投标截止时间前六个月内（不含投标截止时间当月）任意一个月由投标人为其缴纳社保证明材料】以上证明材料未提供或提供不全的不得分。（所有评分项提供的人员不可重复提供，重复提供不得分）</w:t>
            </w:r>
          </w:p>
        </w:tc>
      </w:tr>
      <w:tr>
        <w:tc>
          <w:tcPr>
            <w:tcW w:type="dxa" w:w="3322"/>
          </w:tcPr>
          <w:p>
            <w:pPr>
              <w:pStyle w:val="null3"/>
              <w:jc w:val="both"/>
            </w:pPr>
            <w:r>
              <w:rPr>
                <w:rFonts w:ascii="仿宋_GB2312" w:hAnsi="仿宋_GB2312" w:cs="仿宋_GB2312" w:eastAsia="仿宋_GB2312"/>
              </w:rPr>
              <w:t>6业绩及满意度</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提供的自2022年1月1日起至投标截止日时间止(日期以合同签订时间为准)，已完成的或正在履约保安服务业绩情况及满意度调查表情况，由评委进行评分：每提供一份(公园、景区或城市广场保安服务)同一项目有效业绩及满意度调查表情况（评价为好、优、满意或90分以上等同档次评价）得1分；每提供一份(非公园、景区或城市广场的保安服务)同一项目有效业绩及满意度调查表情况（评价为好、优、满意或90分以上等同档次评价）得0.5分，满分3分。需提供该业绩项目的中标/成交公告(提供相关网站中标/成交公告的下载网页并注明网址)、中标/成交通知书复印件、采购合同文本复印件以及满意度调查表（评价为好、优、满意或90分以上等同档次评价）复印件，以上材料提供不齐全或不符合要求的不得分。</w:t>
            </w:r>
          </w:p>
        </w:tc>
      </w:tr>
      <w:tr>
        <w:tc>
          <w:tcPr>
            <w:tcW w:type="dxa" w:w="3322"/>
          </w:tcPr>
          <w:p>
            <w:pPr>
              <w:pStyle w:val="null3"/>
              <w:jc w:val="both"/>
            </w:pPr>
            <w:r>
              <w:rPr>
                <w:rFonts w:ascii="仿宋_GB2312" w:hAnsi="仿宋_GB2312" w:cs="仿宋_GB2312" w:eastAsia="仿宋_GB2312"/>
              </w:rPr>
              <w:t>7安全责任承诺</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投标人承诺在投标截止之日起前三年内在经营过程中服务标的未发生安全事故的得3分，提供承诺函，未提供不得分。如出现造假情况，按无效投标处理。</w:t>
            </w:r>
          </w:p>
        </w:tc>
      </w:tr>
      <w:tr>
        <w:tc>
          <w:tcPr>
            <w:tcW w:type="dxa" w:w="3322"/>
          </w:tcPr>
          <w:p>
            <w:pPr>
              <w:pStyle w:val="null3"/>
              <w:jc w:val="both"/>
            </w:pPr>
            <w:r>
              <w:rPr>
                <w:rFonts w:ascii="仿宋_GB2312" w:hAnsi="仿宋_GB2312" w:cs="仿宋_GB2312" w:eastAsia="仿宋_GB2312"/>
              </w:rPr>
              <w:t>8公司运营情况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投标人承诺在投标截止之日起前三年内在服务期间未出现因人员欠薪及其他纠纷等原因引起上访及非正常上访等相关情况的得3分，提供承诺函，未提供不得分。如出现造假情况，按无效投标处理。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一）闽江北港公园概况：公园区域分为苍霞段（三县洲大桥至解放大桥）及闽江大桥至九孔闸段堤坝外。目前公园总面积为12.42公顷，其中苍霞段岸线长1.647公里，总面积3.1公顷；闽江大桥至九孔闸段岸线长5.3公里，总面积9.32公顷。</w:t>
      </w:r>
    </w:p>
    <w:p>
      <w:pPr>
        <w:pStyle w:val="null3"/>
        <w:spacing w:before="105" w:after="105"/>
        <w:ind w:firstLine="480"/>
        <w:jc w:val="left"/>
      </w:pPr>
      <w:r>
        <w:rPr>
          <w:rFonts w:ascii="仿宋_GB2312" w:hAnsi="仿宋_GB2312" w:cs="仿宋_GB2312" w:eastAsia="仿宋_GB2312"/>
          <w:sz w:val="24"/>
        </w:rPr>
        <w:t>(二)投标人的报价应包含服务本项目所涉及的一切费用，还要考虑到合同中可能出现的索赔和变更。</w:t>
      </w:r>
    </w:p>
    <w:p>
      <w:pPr>
        <w:pStyle w:val="null3"/>
        <w:ind w:firstLine="480"/>
        <w:jc w:val="both"/>
      </w:pPr>
      <w:r>
        <w:rPr>
          <w:rFonts w:ascii="仿宋_GB2312" w:hAnsi="仿宋_GB2312" w:cs="仿宋_GB2312" w:eastAsia="仿宋_GB2312"/>
          <w:sz w:val="24"/>
          <w:shd w:fill="FFFFFF" w:val="clear"/>
        </w:rPr>
        <w:t>(三)本项目</w:t>
      </w:r>
      <w:r>
        <w:rPr>
          <w:rFonts w:ascii="仿宋_GB2312" w:hAnsi="仿宋_GB2312" w:cs="仿宋_GB2312" w:eastAsia="仿宋_GB2312"/>
          <w:sz w:val="24"/>
          <w:shd w:fill="FFFFFF" w:val="clear"/>
        </w:rPr>
        <w:t>服务期限为三年，具体时间以合同签订为准。若服务期内经采购人考核</w:t>
      </w:r>
      <w:r>
        <w:rPr>
          <w:rFonts w:ascii="仿宋_GB2312" w:hAnsi="仿宋_GB2312" w:cs="仿宋_GB2312" w:eastAsia="仿宋_GB2312"/>
          <w:sz w:val="24"/>
          <w:shd w:fill="FFFFFF" w:val="clear"/>
        </w:rPr>
        <w:t>,认为中标人服务不合格，采购人有权解除合同。</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b/>
        </w:rPr>
        <w:t>（一）服务</w:t>
      </w:r>
      <w:r>
        <w:rPr>
          <w:rFonts w:ascii="仿宋_GB2312" w:hAnsi="仿宋_GB2312" w:cs="仿宋_GB2312" w:eastAsia="仿宋_GB2312"/>
          <w:sz w:val="24"/>
          <w:b/>
        </w:rPr>
        <w:t>范围</w:t>
      </w:r>
      <w:r>
        <w:rPr>
          <w:rFonts w:ascii="仿宋_GB2312" w:hAnsi="仿宋_GB2312" w:cs="仿宋_GB2312" w:eastAsia="仿宋_GB2312"/>
          <w:sz w:val="24"/>
        </w:rPr>
        <w:t>：闽江北港公园范围</w:t>
      </w:r>
    </w:p>
    <w:p>
      <w:pPr>
        <w:pStyle w:val="null3"/>
        <w:spacing w:before="105" w:after="105"/>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保安服务公司要求</w:t>
      </w:r>
    </w:p>
    <w:p>
      <w:pPr>
        <w:pStyle w:val="null3"/>
        <w:ind w:firstLine="562"/>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color w:val="000000"/>
        </w:rPr>
        <w:t>保安服务公司，必须严格按照公安等部门的要求，具备的相关从业证照、资质，三年内无违法记录、行贿记录、无拖欠农民工工资等不良行为记录</w:t>
      </w:r>
      <w:r>
        <w:rPr>
          <w:rFonts w:ascii="仿宋_GB2312" w:hAnsi="仿宋_GB2312" w:cs="仿宋_GB2312" w:eastAsia="仿宋_GB2312"/>
          <w:sz w:val="24"/>
          <w:b/>
          <w:color w:val="000000"/>
        </w:rPr>
        <w:t>（提供承诺函，格式自拟）</w:t>
      </w:r>
      <w:r>
        <w:rPr>
          <w:rFonts w:ascii="仿宋_GB2312" w:hAnsi="仿宋_GB2312" w:cs="仿宋_GB2312" w:eastAsia="仿宋_GB2312"/>
          <w:sz w:val="24"/>
          <w:color w:val="000000"/>
        </w:rPr>
        <w:t>。</w:t>
      </w:r>
    </w:p>
    <w:p>
      <w:pPr>
        <w:pStyle w:val="null3"/>
        <w:ind w:firstLine="562"/>
        <w:jc w:val="both"/>
      </w:pPr>
      <w:r>
        <w:rPr>
          <w:rFonts w:ascii="仿宋_GB2312" w:hAnsi="仿宋_GB2312" w:cs="仿宋_GB2312" w:eastAsia="仿宋_GB2312"/>
          <w:sz w:val="24"/>
          <w:b/>
          <w:color w:val="000000"/>
        </w:rPr>
        <w:t xml:space="preserve"> 2</w:t>
      </w:r>
      <w:r>
        <w:rPr>
          <w:rFonts w:ascii="仿宋_GB2312" w:hAnsi="仿宋_GB2312" w:cs="仿宋_GB2312" w:eastAsia="仿宋_GB2312"/>
          <w:sz w:val="24"/>
          <w:b/>
          <w:color w:val="000000"/>
        </w:rPr>
        <w:t>.</w:t>
      </w:r>
      <w:r>
        <w:rPr>
          <w:rFonts w:ascii="仿宋_GB2312" w:hAnsi="仿宋_GB2312" w:cs="仿宋_GB2312" w:eastAsia="仿宋_GB2312"/>
          <w:sz w:val="24"/>
          <w:color w:val="000000"/>
        </w:rPr>
        <w:t>提供服务的保安公司《保安服务许可证》中服务范围应包括但不限于巡逻、守护、门卫、安全检查和区域秩序维护</w:t>
      </w:r>
      <w:r>
        <w:rPr>
          <w:rFonts w:ascii="仿宋_GB2312" w:hAnsi="仿宋_GB2312" w:cs="仿宋_GB2312" w:eastAsia="仿宋_GB2312"/>
          <w:sz w:val="24"/>
          <w:color w:val="000000"/>
        </w:rPr>
        <w:t>等契合</w:t>
      </w:r>
      <w:r>
        <w:rPr>
          <w:rFonts w:ascii="仿宋_GB2312" w:hAnsi="仿宋_GB2312" w:cs="仿宋_GB2312" w:eastAsia="仿宋_GB2312"/>
          <w:sz w:val="24"/>
          <w:color w:val="000000"/>
        </w:rPr>
        <w:t>城市公园</w:t>
      </w:r>
      <w:r>
        <w:rPr>
          <w:rFonts w:ascii="仿宋_GB2312" w:hAnsi="仿宋_GB2312" w:cs="仿宋_GB2312" w:eastAsia="仿宋_GB2312"/>
          <w:sz w:val="24"/>
          <w:color w:val="000000"/>
        </w:rPr>
        <w:t>管理需求的职能。</w:t>
      </w:r>
      <w:r>
        <w:rPr>
          <w:rFonts w:ascii="仿宋_GB2312" w:hAnsi="仿宋_GB2312" w:cs="仿宋_GB2312" w:eastAsia="仿宋_GB2312"/>
          <w:sz w:val="24"/>
          <w:color w:val="000000"/>
        </w:rPr>
        <w:t>城市公园</w:t>
      </w:r>
      <w:r>
        <w:rPr>
          <w:rFonts w:ascii="仿宋_GB2312" w:hAnsi="仿宋_GB2312" w:cs="仿宋_GB2312" w:eastAsia="仿宋_GB2312"/>
          <w:sz w:val="24"/>
          <w:color w:val="000000"/>
        </w:rPr>
        <w:t>保安工作涉及安全方面事项，均列入保安人员工作职能，实行职能覆盖</w:t>
      </w:r>
      <w:r>
        <w:rPr>
          <w:rFonts w:ascii="仿宋_GB2312" w:hAnsi="仿宋_GB2312" w:cs="仿宋_GB2312" w:eastAsia="仿宋_GB2312"/>
          <w:sz w:val="24"/>
          <w:color w:val="000000"/>
        </w:rPr>
        <w:t>；</w:t>
      </w:r>
      <w:r>
        <w:rPr>
          <w:rFonts w:ascii="仿宋_GB2312" w:hAnsi="仿宋_GB2312" w:cs="仿宋_GB2312" w:eastAsia="仿宋_GB2312"/>
          <w:sz w:val="24"/>
          <w:color w:val="000000"/>
        </w:rPr>
        <w:t>保安公司应具备完善的内部管理制度、健全的法律风险防范、完备的应急预案体系，能针对所服务单位特点，提供定制化的服务方案、管理制度、应急预案、安全规划设计等。</w:t>
      </w:r>
      <w:r>
        <w:rPr>
          <w:rFonts w:ascii="仿宋_GB2312" w:hAnsi="仿宋_GB2312" w:cs="仿宋_GB2312" w:eastAsia="仿宋_GB2312"/>
          <w:sz w:val="24"/>
          <w:b/>
          <w:color w:val="000000"/>
        </w:rPr>
        <w:t>（提供承诺函，格式自拟）</w:t>
      </w:r>
    </w:p>
    <w:p>
      <w:pPr>
        <w:pStyle w:val="null3"/>
        <w:spacing w:before="15" w:after="15"/>
        <w:ind w:firstLine="579"/>
        <w:jc w:val="both"/>
      </w:pPr>
      <w:r>
        <w:rPr>
          <w:rFonts w:ascii="仿宋_GB2312" w:hAnsi="仿宋_GB2312" w:cs="仿宋_GB2312" w:eastAsia="仿宋_GB2312"/>
          <w:sz w:val="24"/>
        </w:rPr>
        <w:t>3.所有派驻的保安人员，男性应18-55周岁（重点岗位保安人员不高于50岁）、女性应18-50周岁，不低于初中文化程度（重点岗位保安人员不低于高中文化程度），身心健康无不良嗜好。项目负责人不低于大专文化程度，必须具备相关保安管理经验；派驻的保安人员必须具备相关保安从业资格，电工必须具备相关部门发布的低压电工证，主要人员必须具备相应的旅游景区、城市公园相关保安工作经历；保安公司应加强对派驻保安人员工作环境熟悉度、业务技能培训和实操演练，确保保安人员的职业技能、工作体能等符合公园管理实际需求。</w:t>
      </w:r>
      <w:r>
        <w:rPr>
          <w:rFonts w:ascii="仿宋_GB2312" w:hAnsi="仿宋_GB2312" w:cs="仿宋_GB2312" w:eastAsia="仿宋_GB2312"/>
          <w:sz w:val="24"/>
          <w:b/>
          <w:color w:val="000000"/>
        </w:rPr>
        <w:t>（提供承诺函，格式自拟）</w:t>
      </w:r>
    </w:p>
    <w:p>
      <w:pPr>
        <w:pStyle w:val="null3"/>
      </w:pPr>
      <w:r>
        <w:rPr>
          <w:rFonts w:ascii="仿宋_GB2312" w:hAnsi="仿宋_GB2312" w:cs="仿宋_GB2312" w:eastAsia="仿宋_GB2312"/>
          <w:sz w:val="24"/>
        </w:rPr>
        <w:t>4.根据城市公园管理的实际需要，派驻保安人员中应包含必需的低压电工证、相应数量的消防、急救或救生、应急援助等相关资格、专业人员。公司应配备与从事业务相关的法律事务专业人员或聘用法律顾问；各公园应加强监督，督促保安公司应急人员、设备配备及日常管理措施落实到位。</w:t>
      </w:r>
      <w:r>
        <w:rPr>
          <w:rFonts w:ascii="仿宋_GB2312" w:hAnsi="仿宋_GB2312" w:cs="仿宋_GB2312" w:eastAsia="仿宋_GB2312"/>
          <w:sz w:val="24"/>
          <w:b/>
          <w:color w:val="000000"/>
        </w:rPr>
        <w:t>（提供承诺函，格式自拟）</w:t>
      </w:r>
    </w:p>
    <w:p>
      <w:pPr>
        <w:pStyle w:val="null3"/>
      </w:pPr>
      <w:r>
        <w:rPr>
          <w:rFonts w:ascii="仿宋_GB2312" w:hAnsi="仿宋_GB2312" w:cs="仿宋_GB2312" w:eastAsia="仿宋_GB2312"/>
          <w:sz w:val="24"/>
        </w:rPr>
        <w:t>（三）主要工作内容</w:t>
      </w:r>
    </w:p>
    <w:p>
      <w:pPr>
        <w:pStyle w:val="null3"/>
        <w:ind w:firstLine="560"/>
      </w:pPr>
      <w:r>
        <w:rPr>
          <w:rFonts w:ascii="仿宋_GB2312" w:hAnsi="仿宋_GB2312" w:cs="仿宋_GB2312" w:eastAsia="仿宋_GB2312"/>
          <w:sz w:val="24"/>
        </w:rPr>
        <w:t>★1.项目人员配置要求：中标人需向采购人派驻39名保安人员，其中保安队长2名（可兼），电工2名（可兼），实行三班倒，每天24小时值守，</w:t>
      </w:r>
      <w:r>
        <w:rPr>
          <w:rFonts w:ascii="仿宋_GB2312" w:hAnsi="仿宋_GB2312" w:cs="仿宋_GB2312" w:eastAsia="仿宋_GB2312"/>
          <w:sz w:val="24"/>
          <w:b/>
        </w:rPr>
        <w:t>提供项目人员配置清单及相关人员证书复印件</w:t>
      </w:r>
      <w:r>
        <w:rPr>
          <w:rFonts w:ascii="仿宋_GB2312" w:hAnsi="仿宋_GB2312" w:cs="仿宋_GB2312" w:eastAsia="仿宋_GB2312"/>
          <w:sz w:val="24"/>
        </w:rPr>
        <w:t>。对采购人区域内安保进行“24小时”坐班、巡逻（包括节假日），保安人员作息调休由中标人自行安排调整。具体工作时段服从采购人安排。乙方须自行配置巡逻车10辆。因工作需要，采购人需增加或减少聘用保安人数，需提前三日通知中标人，由中标人负责落实，保安服务费相应调整。</w:t>
      </w:r>
    </w:p>
    <w:p>
      <w:pPr>
        <w:pStyle w:val="null3"/>
        <w:ind w:firstLine="560"/>
      </w:pPr>
      <w:r>
        <w:rPr>
          <w:rFonts w:ascii="仿宋_GB2312" w:hAnsi="仿宋_GB2312" w:cs="仿宋_GB2312" w:eastAsia="仿宋_GB2312"/>
          <w:sz w:val="24"/>
        </w:rPr>
        <w:t>2.中标人提供的服务包括但不仅限于以下内容：</w:t>
      </w:r>
    </w:p>
    <w:p>
      <w:pPr>
        <w:pStyle w:val="null3"/>
        <w:ind w:firstLine="560"/>
      </w:pPr>
      <w:r>
        <w:rPr>
          <w:rFonts w:ascii="仿宋_GB2312" w:hAnsi="仿宋_GB2312" w:cs="仿宋_GB2312" w:eastAsia="仿宋_GB2312"/>
          <w:sz w:val="24"/>
        </w:rPr>
        <w:t>（1）日常巡更仔细遵循“认真、勤奋、机警”的宗旨，发现异常情况，立即上报，重点监控人群密集、聚集情况，及时采取措施。</w:t>
      </w:r>
    </w:p>
    <w:p>
      <w:pPr>
        <w:pStyle w:val="null3"/>
        <w:ind w:firstLine="560"/>
      </w:pPr>
      <w:r>
        <w:rPr>
          <w:rFonts w:ascii="仿宋_GB2312" w:hAnsi="仿宋_GB2312" w:cs="仿宋_GB2312" w:eastAsia="仿宋_GB2312"/>
          <w:sz w:val="24"/>
        </w:rPr>
        <w:t>（2）检查重点防火部位，检查消防设施设备是否在位、完好、有效，建立消防日检表。</w:t>
      </w:r>
    </w:p>
    <w:p>
      <w:pPr>
        <w:pStyle w:val="null3"/>
        <w:ind w:firstLine="560"/>
      </w:pPr>
      <w:r>
        <w:rPr>
          <w:rFonts w:ascii="仿宋_GB2312" w:hAnsi="仿宋_GB2312" w:cs="仿宋_GB2312" w:eastAsia="仿宋_GB2312"/>
          <w:sz w:val="24"/>
        </w:rPr>
        <w:t>（3）公园基础设备维护工作：保证服务范围内的管理用房、路灯、水管、公园灌溉系统及配套电缆、监控设备、音箱等各项设施的正常运行，并定期对其进行维护和维修，检查箱式变压器、电房等重点部位及周边10米内范围安全情况。配合工程人员对监控设施进行检查维修，确保各项设施完好。</w:t>
      </w:r>
    </w:p>
    <w:p>
      <w:pPr>
        <w:pStyle w:val="null3"/>
        <w:ind w:firstLine="560"/>
      </w:pPr>
      <w:r>
        <w:rPr>
          <w:rFonts w:ascii="仿宋_GB2312" w:hAnsi="仿宋_GB2312" w:cs="仿宋_GB2312" w:eastAsia="仿宋_GB2312"/>
          <w:sz w:val="24"/>
        </w:rPr>
        <w:t>（4）检查各配电房、泵房、仓库设施、空调房等重要区域是否保持常闭、上锁，禁止无关人员入内，发现未及时锁闭的应及时通知相关工作人员处理。</w:t>
      </w:r>
    </w:p>
    <w:p>
      <w:pPr>
        <w:pStyle w:val="null3"/>
        <w:ind w:firstLine="560"/>
      </w:pPr>
      <w:r>
        <w:rPr>
          <w:rFonts w:ascii="仿宋_GB2312" w:hAnsi="仿宋_GB2312" w:cs="仿宋_GB2312" w:eastAsia="仿宋_GB2312"/>
          <w:sz w:val="24"/>
        </w:rPr>
        <w:t>（5）熟悉所有燃气及水利应急阀门、电力总闸、各种手动消防设备和其他所有紧急开关的位置和使用功能，并铭记在心，仔细查看，消除隐患。应每日对园内的各种设施进行安全检查，发现有安全隐患，应立即采取妥当措施及时设置警示标志，并在第一时间以书面形式上报公园管理处。</w:t>
      </w:r>
    </w:p>
    <w:p>
      <w:pPr>
        <w:pStyle w:val="null3"/>
        <w:ind w:firstLine="560"/>
      </w:pPr>
      <w:r>
        <w:rPr>
          <w:rFonts w:ascii="仿宋_GB2312" w:hAnsi="仿宋_GB2312" w:cs="仿宋_GB2312" w:eastAsia="仿宋_GB2312"/>
          <w:sz w:val="24"/>
        </w:rPr>
        <w:t>（6）检查巡更点所到之处设施、绿化是否完好。</w:t>
      </w:r>
    </w:p>
    <w:p>
      <w:pPr>
        <w:pStyle w:val="null3"/>
        <w:ind w:firstLine="560"/>
      </w:pPr>
      <w:r>
        <w:rPr>
          <w:rFonts w:ascii="仿宋_GB2312" w:hAnsi="仿宋_GB2312" w:cs="仿宋_GB2312" w:eastAsia="仿宋_GB2312"/>
          <w:sz w:val="24"/>
        </w:rPr>
        <w:t>（7）针对进场的二次施工进行有效监控，协助业主做好施工安全监督管理工作。</w:t>
      </w:r>
    </w:p>
    <w:p>
      <w:pPr>
        <w:pStyle w:val="null3"/>
        <w:ind w:firstLine="560"/>
      </w:pPr>
      <w:r>
        <w:rPr>
          <w:rFonts w:ascii="仿宋_GB2312" w:hAnsi="仿宋_GB2312" w:cs="仿宋_GB2312" w:eastAsia="仿宋_GB2312"/>
          <w:sz w:val="24"/>
        </w:rPr>
        <w:t>（8）防止外来车辆、人员未经许可进入城市公园所属办公区域。维护园区交通秩序，指挥和疏导进出机动车辆、非机动车和行人。</w:t>
      </w:r>
    </w:p>
    <w:p>
      <w:pPr>
        <w:pStyle w:val="null3"/>
        <w:ind w:firstLine="560"/>
      </w:pPr>
      <w:r>
        <w:rPr>
          <w:rFonts w:ascii="仿宋_GB2312" w:hAnsi="仿宋_GB2312" w:cs="仿宋_GB2312" w:eastAsia="仿宋_GB2312"/>
          <w:sz w:val="24"/>
        </w:rPr>
        <w:t>（9）管控无烟区范围内任何时间不允许吸烟，发现吸烟行为应及时劝阻。</w:t>
      </w:r>
    </w:p>
    <w:p>
      <w:pPr>
        <w:pStyle w:val="null3"/>
        <w:ind w:firstLine="560"/>
      </w:pPr>
      <w:r>
        <w:rPr>
          <w:rFonts w:ascii="仿宋_GB2312" w:hAnsi="仿宋_GB2312" w:cs="仿宋_GB2312" w:eastAsia="仿宋_GB2312"/>
          <w:sz w:val="24"/>
        </w:rPr>
        <w:t>（10）熟悉来园区人员情况，有效判断进出人员状况，应及时对市民游客随处便溺、乱张贴、乱涂刻、乱丢果皮纸屑、草坪上泡茶、摆桌椅、打羽毛球、放风筝等不文明行为，擅自营火、宿营、在水域玩耍、捞、钓、伤害鱼群等不安全行为进行制止劝导。</w:t>
      </w:r>
    </w:p>
    <w:p>
      <w:pPr>
        <w:pStyle w:val="null3"/>
        <w:ind w:firstLine="560"/>
      </w:pPr>
      <w:r>
        <w:rPr>
          <w:rFonts w:ascii="仿宋_GB2312" w:hAnsi="仿宋_GB2312" w:cs="仿宋_GB2312" w:eastAsia="仿宋_GB2312"/>
          <w:sz w:val="24"/>
        </w:rPr>
        <w:t>（11）应及时制止公园内赌博、卖艺乞讨、摆摊设点、噪音扰民、发放广告宣传材料等行为，制止10人以上未经管理部门批准的有组织活动。</w:t>
      </w:r>
    </w:p>
    <w:p>
      <w:pPr>
        <w:pStyle w:val="null3"/>
        <w:ind w:firstLine="560"/>
      </w:pPr>
      <w:r>
        <w:rPr>
          <w:rFonts w:ascii="仿宋_GB2312" w:hAnsi="仿宋_GB2312" w:cs="仿宋_GB2312" w:eastAsia="仿宋_GB2312"/>
          <w:sz w:val="24"/>
        </w:rPr>
        <w:t>（12）做好城市公园水域、堤岸防溺水的防护和巡视，如遇突发溺水事件应根据应急预案做好救援工作。</w:t>
      </w:r>
    </w:p>
    <w:p>
      <w:pPr>
        <w:pStyle w:val="null3"/>
        <w:ind w:firstLine="560"/>
      </w:pPr>
      <w:r>
        <w:rPr>
          <w:rFonts w:ascii="仿宋_GB2312" w:hAnsi="仿宋_GB2312" w:cs="仿宋_GB2312" w:eastAsia="仿宋_GB2312"/>
          <w:sz w:val="24"/>
        </w:rPr>
        <w:t>（13）定期配合相关部门进行消防演习，对消防安全隐患，相关违章违规行为进行报告和处理。</w:t>
      </w:r>
    </w:p>
    <w:p>
      <w:pPr>
        <w:pStyle w:val="null3"/>
        <w:ind w:firstLine="560"/>
      </w:pPr>
      <w:r>
        <w:rPr>
          <w:rFonts w:ascii="仿宋_GB2312" w:hAnsi="仿宋_GB2312" w:cs="仿宋_GB2312" w:eastAsia="仿宋_GB2312"/>
          <w:sz w:val="24"/>
        </w:rPr>
        <w:t>（14）制定火灾、自然灾害等突发事件预案，遇火灾、自然灾害等突发事件，应在第一时间上报公园管理处，并迅速组织保安、消防、医疗救助人员进行疏散、抢救，将事故控制在萌芽状态。</w:t>
      </w:r>
    </w:p>
    <w:p>
      <w:pPr>
        <w:pStyle w:val="null3"/>
        <w:ind w:firstLine="560"/>
      </w:pPr>
      <w:r>
        <w:rPr>
          <w:rFonts w:ascii="仿宋_GB2312" w:hAnsi="仿宋_GB2312" w:cs="仿宋_GB2312" w:eastAsia="仿宋_GB2312"/>
          <w:sz w:val="24"/>
        </w:rPr>
        <w:t>（15）如遇任务繁重或特殊气候要求（台风、暴雨、接待、活动等）需要突击性完成工作任务时，中标人应服从采购人指挥，并按采购人要求增加人力或延长工作时间以保证工作按质按量按时完成。</w:t>
      </w:r>
    </w:p>
    <w:p>
      <w:pPr>
        <w:pStyle w:val="null3"/>
        <w:ind w:firstLine="560"/>
      </w:pPr>
      <w:r>
        <w:rPr>
          <w:rFonts w:ascii="仿宋_GB2312" w:hAnsi="仿宋_GB2312" w:cs="仿宋_GB2312" w:eastAsia="仿宋_GB2312"/>
          <w:sz w:val="24"/>
        </w:rPr>
        <w:t>（16）在公园区域发现盗窃破坏等刑事案件、治安案件，应当及时报告公园管理部门和当地公安机关，采取措施保护案发现场，并依法妥善处理。</w:t>
      </w:r>
    </w:p>
    <w:p>
      <w:pPr>
        <w:pStyle w:val="null3"/>
        <w:ind w:firstLine="560"/>
      </w:pPr>
      <w:r>
        <w:rPr>
          <w:rFonts w:ascii="仿宋_GB2312" w:hAnsi="仿宋_GB2312" w:cs="仿宋_GB2312" w:eastAsia="仿宋_GB2312"/>
          <w:sz w:val="24"/>
        </w:rPr>
        <w:t>（17）做好公园指定区域清场工作，避免游客或无关人员逗留危险区域，保证公园内硬地及水域上的人身安全。保安人员在执勤中遇到游客求助、求救，要采取一切办法立即开展救助工作,不得以任何借口拖延。</w:t>
      </w:r>
    </w:p>
    <w:p>
      <w:pPr>
        <w:pStyle w:val="null3"/>
        <w:ind w:firstLine="560"/>
      </w:pPr>
      <w:r>
        <w:rPr>
          <w:rFonts w:ascii="仿宋_GB2312" w:hAnsi="仿宋_GB2312" w:cs="仿宋_GB2312" w:eastAsia="仿宋_GB2312"/>
          <w:sz w:val="24"/>
        </w:rPr>
        <w:t>（18）建立岗位工作日志，作好记录，根据情况做书面报告。</w:t>
      </w:r>
    </w:p>
    <w:p>
      <w:pPr>
        <w:pStyle w:val="null3"/>
        <w:ind w:firstLine="560"/>
      </w:pPr>
      <w:r>
        <w:rPr>
          <w:rFonts w:ascii="仿宋_GB2312" w:hAnsi="仿宋_GB2312" w:cs="仿宋_GB2312" w:eastAsia="仿宋_GB2312"/>
          <w:sz w:val="24"/>
        </w:rPr>
        <w:t>（19）保安公司应定期组织保安员参加各种安全教育和法律法规学习，提高保安人员的安全意识和法律意识。保安员每周不少于2小时的培训，每周不少于1次班务会，每月不少于2次部门会议。</w:t>
      </w:r>
    </w:p>
    <w:p>
      <w:pPr>
        <w:pStyle w:val="null3"/>
        <w:ind w:firstLine="562"/>
      </w:pPr>
      <w:r>
        <w:rPr>
          <w:rFonts w:ascii="仿宋_GB2312" w:hAnsi="仿宋_GB2312" w:cs="仿宋_GB2312" w:eastAsia="仿宋_GB2312"/>
          <w:sz w:val="24"/>
        </w:rPr>
        <w:t>（四）管理规范</w:t>
      </w:r>
    </w:p>
    <w:p>
      <w:pPr>
        <w:pStyle w:val="null3"/>
        <w:ind w:firstLine="560"/>
      </w:pPr>
      <w:r>
        <w:rPr>
          <w:rFonts w:ascii="仿宋_GB2312" w:hAnsi="仿宋_GB2312" w:cs="仿宋_GB2312" w:eastAsia="仿宋_GB2312"/>
          <w:sz w:val="24"/>
        </w:rPr>
        <w:t>1.工作高效、遵章守纪。保安公司应对所雇员工岗位履职情况做出规范要求，至少应包括：</w:t>
      </w:r>
    </w:p>
    <w:p>
      <w:pPr>
        <w:pStyle w:val="null3"/>
        <w:ind w:firstLine="560"/>
      </w:pPr>
      <w:r>
        <w:rPr>
          <w:rFonts w:ascii="仿宋_GB2312" w:hAnsi="仿宋_GB2312" w:cs="仿宋_GB2312" w:eastAsia="仿宋_GB2312"/>
          <w:sz w:val="24"/>
        </w:rPr>
        <w:t>（1）员工上下班必须在指定地方打卡签到，不准迟到、早退、旷工。</w:t>
      </w:r>
    </w:p>
    <w:p>
      <w:pPr>
        <w:pStyle w:val="null3"/>
        <w:ind w:firstLine="560"/>
      </w:pPr>
      <w:r>
        <w:rPr>
          <w:rFonts w:ascii="仿宋_GB2312" w:hAnsi="仿宋_GB2312" w:cs="仿宋_GB2312" w:eastAsia="仿宋_GB2312"/>
          <w:sz w:val="24"/>
        </w:rPr>
        <w:t>（2）在指定的岗位或范围内当值。</w:t>
      </w:r>
    </w:p>
    <w:p>
      <w:pPr>
        <w:pStyle w:val="null3"/>
        <w:ind w:firstLine="560"/>
      </w:pPr>
      <w:r>
        <w:rPr>
          <w:rFonts w:ascii="仿宋_GB2312" w:hAnsi="仿宋_GB2312" w:cs="仿宋_GB2312" w:eastAsia="仿宋_GB2312"/>
          <w:sz w:val="24"/>
        </w:rPr>
        <w:t>（3）不得擅离职守，不得未经批准调换岗位。</w:t>
      </w:r>
    </w:p>
    <w:p>
      <w:pPr>
        <w:pStyle w:val="null3"/>
        <w:ind w:firstLine="560"/>
      </w:pPr>
      <w:r>
        <w:rPr>
          <w:rFonts w:ascii="仿宋_GB2312" w:hAnsi="仿宋_GB2312" w:cs="仿宋_GB2312" w:eastAsia="仿宋_GB2312"/>
          <w:sz w:val="24"/>
        </w:rPr>
        <w:t>（4）不得当值时在岗位内睡觉。</w:t>
      </w:r>
    </w:p>
    <w:p>
      <w:pPr>
        <w:pStyle w:val="null3"/>
        <w:ind w:firstLine="560"/>
      </w:pPr>
      <w:r>
        <w:rPr>
          <w:rFonts w:ascii="仿宋_GB2312" w:hAnsi="仿宋_GB2312" w:cs="仿宋_GB2312" w:eastAsia="仿宋_GB2312"/>
          <w:sz w:val="24"/>
        </w:rPr>
        <w:t>（5）不得在岗位吸烟。保持岗亭卫生整洁，不得有擅自放置杂物、私拉电线等违规行为，下班后不得着装制服在公园范围内（非后勤区）逗留。</w:t>
      </w:r>
    </w:p>
    <w:p>
      <w:pPr>
        <w:pStyle w:val="null3"/>
        <w:ind w:firstLine="560"/>
      </w:pPr>
      <w:r>
        <w:rPr>
          <w:rFonts w:ascii="仿宋_GB2312" w:hAnsi="仿宋_GB2312" w:cs="仿宋_GB2312" w:eastAsia="仿宋_GB2312"/>
          <w:sz w:val="24"/>
        </w:rPr>
        <w:t>（6）不得当值前或当值时饮用含酒精类的饮品。</w:t>
      </w:r>
    </w:p>
    <w:p>
      <w:pPr>
        <w:pStyle w:val="null3"/>
        <w:ind w:firstLine="560"/>
      </w:pPr>
      <w:r>
        <w:rPr>
          <w:rFonts w:ascii="仿宋_GB2312" w:hAnsi="仿宋_GB2312" w:cs="仿宋_GB2312" w:eastAsia="仿宋_GB2312"/>
          <w:sz w:val="24"/>
        </w:rPr>
        <w:t>（7）不得在岗位内以任何形式赌博。</w:t>
      </w:r>
    </w:p>
    <w:p>
      <w:pPr>
        <w:pStyle w:val="null3"/>
        <w:ind w:firstLine="560"/>
      </w:pPr>
      <w:r>
        <w:rPr>
          <w:rFonts w:ascii="仿宋_GB2312" w:hAnsi="仿宋_GB2312" w:cs="仿宋_GB2312" w:eastAsia="仿宋_GB2312"/>
          <w:sz w:val="24"/>
        </w:rPr>
        <w:t>（8）不得发表对公司或公园管理处不利的论调。</w:t>
      </w:r>
    </w:p>
    <w:p>
      <w:pPr>
        <w:pStyle w:val="null3"/>
        <w:ind w:firstLine="560"/>
      </w:pPr>
      <w:r>
        <w:rPr>
          <w:rFonts w:ascii="仿宋_GB2312" w:hAnsi="仿宋_GB2312" w:cs="仿宋_GB2312" w:eastAsia="仿宋_GB2312"/>
          <w:sz w:val="24"/>
        </w:rPr>
        <w:t>（9）不得擅自向外人泄露办公机密和内部管控详情。</w:t>
      </w:r>
    </w:p>
    <w:p>
      <w:pPr>
        <w:pStyle w:val="null3"/>
        <w:ind w:firstLine="560"/>
      </w:pPr>
      <w:r>
        <w:rPr>
          <w:rFonts w:ascii="仿宋_GB2312" w:hAnsi="仿宋_GB2312" w:cs="仿宋_GB2312" w:eastAsia="仿宋_GB2312"/>
          <w:sz w:val="24"/>
        </w:rPr>
        <w:t>（10）在任何情况下严禁和公园工作人员、游客、园内租户（经营者）等发生争执。</w:t>
      </w:r>
    </w:p>
    <w:p>
      <w:pPr>
        <w:pStyle w:val="null3"/>
        <w:ind w:firstLine="560"/>
      </w:pPr>
      <w:r>
        <w:rPr>
          <w:rFonts w:ascii="仿宋_GB2312" w:hAnsi="仿宋_GB2312" w:cs="仿宋_GB2312" w:eastAsia="仿宋_GB2312"/>
          <w:sz w:val="24"/>
        </w:rPr>
        <w:t>（11）在任何区域发现游客遗留物品应即时上交登记。</w:t>
      </w:r>
    </w:p>
    <w:p>
      <w:pPr>
        <w:pStyle w:val="null3"/>
        <w:ind w:firstLine="560"/>
      </w:pPr>
      <w:r>
        <w:rPr>
          <w:rFonts w:ascii="仿宋_GB2312" w:hAnsi="仿宋_GB2312" w:cs="仿宋_GB2312" w:eastAsia="仿宋_GB2312"/>
          <w:sz w:val="24"/>
        </w:rPr>
        <w:t>（12）严禁向租户（经营者）、游客以各种形式勒索财物，严禁出现利用职务之便，谋取私利等违规行为。</w:t>
      </w:r>
    </w:p>
    <w:p>
      <w:pPr>
        <w:pStyle w:val="null3"/>
        <w:ind w:firstLine="560"/>
      </w:pPr>
      <w:r>
        <w:rPr>
          <w:rFonts w:ascii="仿宋_GB2312" w:hAnsi="仿宋_GB2312" w:cs="仿宋_GB2312" w:eastAsia="仿宋_GB2312"/>
          <w:sz w:val="24"/>
        </w:rPr>
        <w:t>（13）在任何岗位不得有看书报、听音乐、玩弄手机、长时间打私人电话等工作外行为。</w:t>
      </w:r>
    </w:p>
    <w:p>
      <w:pPr>
        <w:pStyle w:val="null3"/>
        <w:ind w:firstLine="560"/>
      </w:pPr>
      <w:r>
        <w:rPr>
          <w:rFonts w:ascii="仿宋_GB2312" w:hAnsi="仿宋_GB2312" w:cs="仿宋_GB2312" w:eastAsia="仿宋_GB2312"/>
          <w:sz w:val="24"/>
        </w:rPr>
        <w:t>（14）上班期间，不准接待亲友，确需必要，应提前告知上级，在上级同意下按相关规定安排。</w:t>
      </w:r>
    </w:p>
    <w:p>
      <w:pPr>
        <w:pStyle w:val="null3"/>
        <w:ind w:firstLine="560"/>
      </w:pPr>
      <w:r>
        <w:rPr>
          <w:rFonts w:ascii="仿宋_GB2312" w:hAnsi="仿宋_GB2312" w:cs="仿宋_GB2312" w:eastAsia="仿宋_GB2312"/>
          <w:sz w:val="24"/>
        </w:rPr>
        <w:t>（15）接听值守电话、对讲机应保持文明礼貌。</w:t>
      </w:r>
    </w:p>
    <w:p>
      <w:pPr>
        <w:pStyle w:val="null3"/>
        <w:ind w:firstLine="560"/>
      </w:pPr>
      <w:r>
        <w:rPr>
          <w:rFonts w:ascii="仿宋_GB2312" w:hAnsi="仿宋_GB2312" w:cs="仿宋_GB2312" w:eastAsia="仿宋_GB2312"/>
          <w:sz w:val="24"/>
        </w:rPr>
        <w:t>（16）应保持通讯畅通，下级避让上级；一般情况避让紧急情况。</w:t>
      </w:r>
    </w:p>
    <w:p>
      <w:pPr>
        <w:pStyle w:val="null3"/>
        <w:ind w:firstLine="560"/>
      </w:pPr>
      <w:r>
        <w:rPr>
          <w:rFonts w:ascii="仿宋_GB2312" w:hAnsi="仿宋_GB2312" w:cs="仿宋_GB2312" w:eastAsia="仿宋_GB2312"/>
          <w:sz w:val="24"/>
        </w:rPr>
        <w:t>（17）保安人员如犯有任何罪案，立即移交警方处理，如违反规章制度，则应接受相应处分、警告，直到除名。</w:t>
      </w:r>
    </w:p>
    <w:p>
      <w:pPr>
        <w:pStyle w:val="null3"/>
        <w:ind w:firstLine="560"/>
      </w:pPr>
      <w:r>
        <w:rPr>
          <w:rFonts w:ascii="仿宋_GB2312" w:hAnsi="仿宋_GB2312" w:cs="仿宋_GB2312" w:eastAsia="仿宋_GB2312"/>
          <w:sz w:val="24"/>
        </w:rPr>
        <w:t>（18）员工必须保持良好形象，微笑服务。如被发现有不合标准之处，采购人有权责令其改正，并记录在案，汇入月底考评记录中。</w:t>
      </w:r>
    </w:p>
    <w:p>
      <w:pPr>
        <w:pStyle w:val="null3"/>
        <w:ind w:firstLine="560"/>
      </w:pPr>
      <w:r>
        <w:rPr>
          <w:rFonts w:ascii="仿宋_GB2312" w:hAnsi="仿宋_GB2312" w:cs="仿宋_GB2312" w:eastAsia="仿宋_GB2312"/>
          <w:sz w:val="24"/>
        </w:rPr>
        <w:t>（19）必须熟知公园基本情况，包括重要景点、游客服务中心、公共厕所位置及路线等，对游客咨询需耐心引导。</w:t>
      </w:r>
    </w:p>
    <w:p>
      <w:pPr>
        <w:pStyle w:val="null3"/>
        <w:ind w:firstLine="560"/>
      </w:pPr>
      <w:r>
        <w:rPr>
          <w:rFonts w:ascii="仿宋_GB2312" w:hAnsi="仿宋_GB2312" w:cs="仿宋_GB2312" w:eastAsia="仿宋_GB2312"/>
          <w:sz w:val="24"/>
        </w:rPr>
        <w:t>2.仪容整洁、气质挺拔。保安人员当值时必须穿着制服，随身器具佩戴指定位置，不得佩戴任何饰物，身体外露部位无刺青纹身，达到以下要求：</w:t>
      </w:r>
    </w:p>
    <w:p>
      <w:pPr>
        <w:pStyle w:val="null3"/>
        <w:ind w:firstLine="560"/>
      </w:pPr>
      <w:r>
        <w:rPr>
          <w:rFonts w:ascii="仿宋_GB2312" w:hAnsi="仿宋_GB2312" w:cs="仿宋_GB2312" w:eastAsia="仿宋_GB2312"/>
          <w:sz w:val="24"/>
        </w:rPr>
        <w:t>（1）所有保安人员的制服应保持干净整洁。</w:t>
      </w:r>
    </w:p>
    <w:p>
      <w:pPr>
        <w:pStyle w:val="null3"/>
        <w:ind w:firstLine="560"/>
      </w:pPr>
      <w:r>
        <w:rPr>
          <w:rFonts w:ascii="仿宋_GB2312" w:hAnsi="仿宋_GB2312" w:cs="仿宋_GB2312" w:eastAsia="仿宋_GB2312"/>
          <w:sz w:val="24"/>
        </w:rPr>
        <w:t>（2）发型：头发梳理整齐，头发不过领，不许留鬓须。</w:t>
      </w:r>
    </w:p>
    <w:p>
      <w:pPr>
        <w:pStyle w:val="null3"/>
        <w:ind w:firstLine="560"/>
      </w:pPr>
      <w:r>
        <w:rPr>
          <w:rFonts w:ascii="仿宋_GB2312" w:hAnsi="仿宋_GB2312" w:cs="仿宋_GB2312" w:eastAsia="仿宋_GB2312"/>
          <w:sz w:val="24"/>
        </w:rPr>
        <w:t>（3）穿鞋：统一黑色，无污垢、污渍。</w:t>
      </w:r>
    </w:p>
    <w:p>
      <w:pPr>
        <w:pStyle w:val="null3"/>
        <w:ind w:firstLine="560"/>
      </w:pPr>
      <w:r>
        <w:rPr>
          <w:rFonts w:ascii="仿宋_GB2312" w:hAnsi="仿宋_GB2312" w:cs="仿宋_GB2312" w:eastAsia="仿宋_GB2312"/>
          <w:sz w:val="24"/>
        </w:rPr>
        <w:t>3.器械齐全、专人管理。所有消防、安全、防暴、救援设施设备必须配备齐全（</w:t>
      </w:r>
      <w:r>
        <w:rPr>
          <w:rFonts w:ascii="仿宋_GB2312" w:hAnsi="仿宋_GB2312" w:cs="仿宋_GB2312" w:eastAsia="仿宋_GB2312"/>
          <w:sz w:val="24"/>
        </w:rPr>
        <w:t>包括且不限于执法记录仪、对讲机、钢盔、警棍、巡夜手电筒、警戒线等</w:t>
      </w:r>
      <w:r>
        <w:rPr>
          <w:rFonts w:ascii="仿宋_GB2312" w:hAnsi="仿宋_GB2312" w:cs="仿宋_GB2312" w:eastAsia="仿宋_GB2312"/>
          <w:sz w:val="24"/>
        </w:rPr>
        <w:t>），确保所有设施、设备在最佳状态。保安公司应保证公园所有区域安全服务和消防设施得到及时检查和保养，并做出计划表告知公园管理处，全面了解和掌握公园安保设施和主要设备基本情况。</w:t>
      </w:r>
    </w:p>
    <w:p>
      <w:pPr>
        <w:pStyle w:val="null3"/>
        <w:ind w:firstLine="622"/>
      </w:pPr>
      <w:r>
        <w:rPr>
          <w:rFonts w:ascii="仿宋_GB2312" w:hAnsi="仿宋_GB2312" w:cs="仿宋_GB2312" w:eastAsia="仿宋_GB2312"/>
          <w:sz w:val="24"/>
        </w:rPr>
        <w:t>（五）其他要求</w:t>
      </w:r>
    </w:p>
    <w:p>
      <w:pPr>
        <w:pStyle w:val="null3"/>
        <w:ind w:firstLine="622"/>
      </w:pPr>
      <w:r>
        <w:rPr>
          <w:rFonts w:ascii="仿宋_GB2312" w:hAnsi="仿宋_GB2312" w:cs="仿宋_GB2312" w:eastAsia="仿宋_GB2312"/>
          <w:sz w:val="24"/>
        </w:rPr>
        <w:t>1.中标人应积极做好公园的日常安全保卫工作及园区范围内财产的看护，如因中标人失职造成采购人设备，硬件设施损坏、丢失的，经中标人、采购人双方确认，由中标人负责赔偿，并做好修复。</w:t>
      </w:r>
    </w:p>
    <w:p>
      <w:pPr>
        <w:pStyle w:val="null3"/>
        <w:ind w:firstLine="480"/>
      </w:pPr>
      <w:r>
        <w:rPr>
          <w:rFonts w:ascii="仿宋_GB2312" w:hAnsi="仿宋_GB2312" w:cs="仿宋_GB2312" w:eastAsia="仿宋_GB2312"/>
          <w:sz w:val="24"/>
        </w:rPr>
        <w:t>2.中标人派出的保安人员应自觉配合采购人管理人员的日常管理，对不服从管理和采购人认为不适合继续在公园工作的保安员，采购人有权要求中标人予以撤换，中标人对受保单位内的保安员的调动须经采购人同意。采购人提出更换保安人员的请求及理由后，中标人应在接到请求之日起3个工作日内做出更换保安的决定，并派新保安人员到岗。</w:t>
      </w:r>
    </w:p>
    <w:p>
      <w:pPr>
        <w:pStyle w:val="null3"/>
        <w:ind w:firstLine="480"/>
      </w:pPr>
      <w:r>
        <w:rPr>
          <w:rFonts w:ascii="仿宋_GB2312" w:hAnsi="仿宋_GB2312" w:cs="仿宋_GB2312" w:eastAsia="仿宋_GB2312"/>
          <w:sz w:val="24"/>
        </w:rPr>
        <w:t>3.中标人应严格履行职责，加强对派驻人员的培训与管理，确保不得因履职不认真发生安全事故；不得因管理不善或操作不当等原因造成重大事故。合同期间中标人派出的保安在劳动生产及执勤工作中产生的一切人身、财产安全事故责任均由中标人承担，由中标人自行负责。</w:t>
      </w:r>
    </w:p>
    <w:p>
      <w:pPr>
        <w:pStyle w:val="null3"/>
        <w:ind w:firstLine="480"/>
      </w:pPr>
      <w:r>
        <w:rPr>
          <w:rFonts w:ascii="仿宋_GB2312" w:hAnsi="仿宋_GB2312" w:cs="仿宋_GB2312" w:eastAsia="仿宋_GB2312"/>
          <w:sz w:val="24"/>
        </w:rPr>
        <w:t>4.中标人提供的保安人员必须遵守公园内的各项规章制度，按照有关规定进行工作，并接受采购人的监督和管理。巡查发现服务单位工作不到位的，对照《闽江北港公园保安考核评分表》进行扣分，同时下发《整改通知书》。</w:t>
      </w:r>
    </w:p>
    <w:p>
      <w:pPr>
        <w:pStyle w:val="null3"/>
        <w:ind w:firstLine="480"/>
      </w:pPr>
      <w:r>
        <w:rPr>
          <w:rFonts w:ascii="仿宋_GB2312" w:hAnsi="仿宋_GB2312" w:cs="仿宋_GB2312" w:eastAsia="仿宋_GB2312"/>
          <w:sz w:val="24"/>
        </w:rPr>
        <w:t>5.中标人应按照相关规定合法合理安全用电、节约用水，防止因用电失误导致的各项突发事件的发生。</w:t>
      </w:r>
    </w:p>
    <w:p>
      <w:pPr>
        <w:pStyle w:val="null3"/>
        <w:ind w:firstLine="480"/>
      </w:pPr>
      <w:r>
        <w:rPr>
          <w:rFonts w:ascii="仿宋_GB2312" w:hAnsi="仿宋_GB2312" w:cs="仿宋_GB2312" w:eastAsia="仿宋_GB2312"/>
          <w:sz w:val="24"/>
        </w:rPr>
        <w:t>6.中标人应根据要求为园区购买公众责任险且保额≥200万元。做好安全预防措施，保证园内人员及游客的生命财产安全。</w:t>
      </w:r>
    </w:p>
    <w:p>
      <w:pPr>
        <w:pStyle w:val="null3"/>
        <w:ind w:firstLine="480"/>
      </w:pPr>
      <w:r>
        <w:rPr>
          <w:rFonts w:ascii="仿宋_GB2312" w:hAnsi="仿宋_GB2312" w:cs="仿宋_GB2312" w:eastAsia="仿宋_GB2312"/>
          <w:sz w:val="24"/>
        </w:rPr>
        <w:t>7.中标人必须按规定为员工购买社会保险和工伤意外保险。中标人人员的工资、福利、保险等费用支出自行负责。在合同履行期间发生的劳务纠纷、安全事故等（由于采购人过错引起的除外）均由中标人自行负责。若中标人不积极处理的导致恶劣现象或事故发生的，采购人可扣除发生当月所有的服务费作为惩罚。</w:t>
      </w:r>
    </w:p>
    <w:p>
      <w:pPr>
        <w:pStyle w:val="null3"/>
        <w:ind w:firstLine="420"/>
      </w:pPr>
      <w:r>
        <w:rPr>
          <w:rFonts w:ascii="仿宋_GB2312" w:hAnsi="仿宋_GB2312" w:cs="仿宋_GB2312" w:eastAsia="仿宋_GB2312"/>
          <w:sz w:val="24"/>
        </w:rPr>
        <w:t>8.由于条件限制，中标人的员工的食、宿及工具、杂物堆放等问题均由中标人自行解决，所需费用含在投标报价内。</w:t>
      </w:r>
    </w:p>
    <w:p>
      <w:pPr>
        <w:pStyle w:val="null3"/>
        <w:ind w:firstLine="420"/>
      </w:pPr>
      <w:r>
        <w:rPr>
          <w:rFonts w:ascii="仿宋_GB2312" w:hAnsi="仿宋_GB2312" w:cs="仿宋_GB2312" w:eastAsia="仿宋_GB2312"/>
          <w:sz w:val="24"/>
        </w:rPr>
        <w:t>9.中标人的员工须统一着装，所需费用含在投标报价内。中标人应遵守劳动法律法规，与派驻人员签订劳动合同，提供相应的劳动待遇和劳动保护措施，自行承担并及时支付派驻采购人人员工资、节假日加班工资、福利、社保医保等五金、奖金和各种津贴、补贴、人生财产保险，以及工作服装费、各项岗位培训费、日常办公、行政管理费等一切费用，采购人不再承担任何费用。</w:t>
      </w:r>
    </w:p>
    <w:p>
      <w:pPr>
        <w:pStyle w:val="null3"/>
        <w:ind w:firstLine="420"/>
      </w:pPr>
      <w:r>
        <w:rPr>
          <w:rFonts w:ascii="仿宋_GB2312" w:hAnsi="仿宋_GB2312" w:cs="仿宋_GB2312" w:eastAsia="仿宋_GB2312"/>
          <w:sz w:val="24"/>
        </w:rPr>
        <w:t>10.中标人不得在合同期限内转包项目，否则采购人有权取消中标人的中标资格，中标人应按采购人的通知无条件退场，并无权要求采购人结算、支付相关服务费。</w:t>
      </w:r>
    </w:p>
    <w:p>
      <w:pPr>
        <w:pStyle w:val="null3"/>
        <w:ind w:firstLine="420"/>
      </w:pPr>
      <w:r>
        <w:rPr>
          <w:rFonts w:ascii="仿宋_GB2312" w:hAnsi="仿宋_GB2312" w:cs="仿宋_GB2312" w:eastAsia="仿宋_GB2312"/>
          <w:sz w:val="24"/>
        </w:rPr>
        <w:t>11.服务期满中标人未能继续获得采购人新的服务时，中标人要积极配合与下一服务单位交接，不得以任何方式阻碍交接，影响业主正常工作。最后一个月的服务费用留待交接完后再支付，中标人不配合或以任何方式阻碍和影响采购人进行交接工作的，采购人有权不支付最后一个月的服务费用。</w:t>
      </w:r>
    </w:p>
    <w:p>
      <w:pPr>
        <w:pStyle w:val="null3"/>
        <w:ind w:firstLine="420"/>
      </w:pPr>
      <w:r>
        <w:rPr>
          <w:rFonts w:ascii="仿宋_GB2312" w:hAnsi="仿宋_GB2312" w:cs="仿宋_GB2312" w:eastAsia="仿宋_GB2312"/>
          <w:sz w:val="24"/>
        </w:rPr>
        <w:t>12.中标人保安员若由于使用部门在执行任务或临时安排规定工作任务，造成人身伤害的，中标人承担所有的赔偿责任，采购人和使用部门不承担连带责任。</w:t>
      </w:r>
    </w:p>
    <w:p>
      <w:pPr>
        <w:pStyle w:val="null3"/>
        <w:ind w:firstLine="420"/>
      </w:pPr>
      <w:r>
        <w:rPr>
          <w:rFonts w:ascii="仿宋_GB2312" w:hAnsi="仿宋_GB2312" w:cs="仿宋_GB2312" w:eastAsia="仿宋_GB2312"/>
          <w:sz w:val="24"/>
        </w:rPr>
        <w:t>13.中标人违反上述任何一条，构成严重违约，造成严重后果的，采购人有权解除合同，中标人应按本合同约定承担违约责任。</w:t>
      </w:r>
    </w:p>
    <w:p>
      <w:pPr>
        <w:pStyle w:val="null3"/>
        <w:ind w:firstLine="420"/>
      </w:pPr>
      <w:r>
        <w:rPr>
          <w:rFonts w:ascii="仿宋_GB2312" w:hAnsi="仿宋_GB2312" w:cs="仿宋_GB2312" w:eastAsia="仿宋_GB2312"/>
          <w:sz w:val="24"/>
          <w:b/>
        </w:rPr>
        <w:t>★14.合同执行期间，如遇公园改造、管理单位变更以及上级部门明确指导意见等事宜，则采购人可单方面无条件终止合同，中标人应配合采购人做好项目退场移交事宜。因终止合同而给中标人造成的损失，由中标人自行负责。中标人需承诺无条件同意上述要求。</w:t>
      </w:r>
      <w:r>
        <w:rPr>
          <w:rFonts w:ascii="仿宋_GB2312" w:hAnsi="仿宋_GB2312" w:cs="仿宋_GB2312" w:eastAsia="仿宋_GB2312"/>
          <w:sz w:val="24"/>
          <w:b/>
          <w:color w:val="000000"/>
        </w:rPr>
        <w:t>（提供承诺函，格式自拟）</w:t>
      </w:r>
    </w:p>
    <w:p>
      <w:pPr>
        <w:pStyle w:val="null3"/>
      </w:pPr>
      <w:r>
        <w:rPr>
          <w:rFonts w:ascii="仿宋_GB2312" w:hAnsi="仿宋_GB2312" w:cs="仿宋_GB2312" w:eastAsia="仿宋_GB2312"/>
          <w:sz w:val="24"/>
        </w:rPr>
        <w:t>附件：考核办法</w:t>
      </w:r>
    </w:p>
    <w:p>
      <w:pPr>
        <w:pStyle w:val="null3"/>
        <w:ind w:firstLine="420"/>
      </w:pPr>
      <w:r>
        <w:rPr>
          <w:rFonts w:ascii="仿宋_GB2312" w:hAnsi="仿宋_GB2312" w:cs="仿宋_GB2312" w:eastAsia="仿宋_GB2312"/>
          <w:sz w:val="24"/>
        </w:rPr>
        <w:t>1.采购人定期和不定期对工作情况进行考核和检查，并结合有关专项活动进行检查：现场检查—口头或书面通知整改—复查—公布结果。</w:t>
      </w:r>
    </w:p>
    <w:p>
      <w:pPr>
        <w:pStyle w:val="null3"/>
        <w:ind w:firstLine="420"/>
      </w:pPr>
      <w:r>
        <w:rPr>
          <w:rFonts w:ascii="仿宋_GB2312" w:hAnsi="仿宋_GB2312" w:cs="仿宋_GB2312" w:eastAsia="仿宋_GB2312"/>
          <w:sz w:val="24"/>
        </w:rPr>
        <w:t>2.</w:t>
      </w:r>
      <w:r>
        <w:rPr>
          <w:rFonts w:ascii="仿宋_GB2312" w:hAnsi="仿宋_GB2312" w:cs="仿宋_GB2312" w:eastAsia="仿宋_GB2312"/>
          <w:sz w:val="24"/>
        </w:rPr>
        <w:t>对中标人进行月度考评：按照以每季度内三个月考核的平均分拨付全额或扣除相应服务费用：</w:t>
      </w:r>
    </w:p>
    <w:p>
      <w:pPr>
        <w:pStyle w:val="null3"/>
      </w:pPr>
      <w:r>
        <w:rPr>
          <w:rFonts w:ascii="仿宋_GB2312" w:hAnsi="仿宋_GB2312" w:cs="仿宋_GB2312" w:eastAsia="仿宋_GB2312"/>
          <w:sz w:val="24"/>
        </w:rPr>
        <w:t>（1）得分大于95分（含），全额拨付当季度经费；</w:t>
      </w:r>
    </w:p>
    <w:p>
      <w:pPr>
        <w:pStyle w:val="null3"/>
      </w:pPr>
      <w:r>
        <w:rPr>
          <w:rFonts w:ascii="仿宋_GB2312" w:hAnsi="仿宋_GB2312" w:cs="仿宋_GB2312" w:eastAsia="仿宋_GB2312"/>
          <w:sz w:val="24"/>
        </w:rPr>
        <w:t>（2）得分80分（含）-94分，应付款额＝当季度经费×当季度考核的最终得分÷100；</w:t>
      </w:r>
    </w:p>
    <w:p>
      <w:pPr>
        <w:pStyle w:val="null3"/>
      </w:pPr>
      <w:r>
        <w:rPr>
          <w:rFonts w:ascii="仿宋_GB2312" w:hAnsi="仿宋_GB2312" w:cs="仿宋_GB2312" w:eastAsia="仿宋_GB2312"/>
          <w:sz w:val="24"/>
        </w:rPr>
        <w:t>（3）80分以下及公园、公园上级领导及相关部门检查发现问题拒不整改的视为考核不合格，暂停发放服务费，按要求进行限时整改，经复查后合格的，发放服务费的50%。</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4"/>
        </w:rPr>
        <w:t>3.中标人连续2个月考核得分低于80分或合同(或协议)期内累计3次考核得分低于80分的，采购人有权终止合同(或协议)，</w:t>
      </w:r>
      <w:r>
        <w:rPr>
          <w:rFonts w:ascii="仿宋_GB2312" w:hAnsi="仿宋_GB2312" w:cs="仿宋_GB2312" w:eastAsia="仿宋_GB2312"/>
          <w:sz w:val="24"/>
        </w:rPr>
        <w:t>中标人</w:t>
      </w:r>
      <w:r>
        <w:rPr>
          <w:rFonts w:ascii="仿宋_GB2312" w:hAnsi="仿宋_GB2312" w:cs="仿宋_GB2312" w:eastAsia="仿宋_GB2312"/>
          <w:sz w:val="24"/>
        </w:rPr>
        <w:t>须无条件按采购人要求办理移交、退场手续。</w:t>
      </w:r>
    </w:p>
    <w:p>
      <w:pPr>
        <w:pStyle w:val="null3"/>
      </w:pPr>
      <w:r>
        <w:rPr>
          <w:rFonts w:ascii="仿宋_GB2312" w:hAnsi="仿宋_GB2312" w:cs="仿宋_GB2312" w:eastAsia="仿宋_GB2312"/>
          <w:sz w:val="24"/>
        </w:rPr>
        <w:t>4.重大事项处罚</w:t>
      </w:r>
    </w:p>
    <w:p>
      <w:pPr>
        <w:pStyle w:val="null3"/>
      </w:pPr>
      <w:r>
        <w:rPr>
          <w:rFonts w:ascii="仿宋_GB2312" w:hAnsi="仿宋_GB2312" w:cs="仿宋_GB2312" w:eastAsia="仿宋_GB2312"/>
          <w:sz w:val="24"/>
        </w:rPr>
        <w:t>（1）</w:t>
      </w:r>
      <w:r>
        <w:rPr>
          <w:rFonts w:ascii="仿宋_GB2312" w:hAnsi="仿宋_GB2312" w:cs="仿宋_GB2312" w:eastAsia="仿宋_GB2312"/>
          <w:sz w:val="24"/>
        </w:rPr>
        <w:t>.如遇国家、省、市、局检查，被红、黄牌警告2次的或被通报整改3次的，招标人有权终止合同。数字城管和12345的案件中标人按规定时间反馈处理情况，确保案件按时保质处置到位，未按规定时间处理的每件三倍扣分。</w:t>
      </w:r>
    </w:p>
    <w:p>
      <w:pPr>
        <w:pStyle w:val="null3"/>
      </w:pPr>
      <w:r>
        <w:rPr>
          <w:rFonts w:ascii="仿宋_GB2312" w:hAnsi="仿宋_GB2312" w:cs="仿宋_GB2312" w:eastAsia="仿宋_GB2312"/>
          <w:sz w:val="24"/>
        </w:rPr>
        <w:t>（2）</w:t>
      </w:r>
      <w:r>
        <w:rPr>
          <w:rFonts w:ascii="仿宋_GB2312" w:hAnsi="仿宋_GB2312" w:cs="仿宋_GB2312" w:eastAsia="仿宋_GB2312"/>
          <w:sz w:val="24"/>
        </w:rPr>
        <w:t>.因工作不到位被区级领导点名或通报批评，被区级新闻媒体曝光，区级重大活动保障不力，区级检查失责等问题，凡经查证属实，直接扣减月度服务费的50%。</w:t>
      </w:r>
    </w:p>
    <w:p>
      <w:pPr>
        <w:pStyle w:val="null3"/>
      </w:pPr>
      <w:r>
        <w:rPr>
          <w:rFonts w:ascii="仿宋_GB2312" w:hAnsi="仿宋_GB2312" w:cs="仿宋_GB2312" w:eastAsia="仿宋_GB2312"/>
          <w:sz w:val="24"/>
        </w:rPr>
        <w:t>（3）</w:t>
      </w:r>
      <w:r>
        <w:rPr>
          <w:rFonts w:ascii="仿宋_GB2312" w:hAnsi="仿宋_GB2312" w:cs="仿宋_GB2312" w:eastAsia="仿宋_GB2312"/>
          <w:sz w:val="24"/>
        </w:rPr>
        <w:t>.因工作不到位被市级领导点名或通报批评，被市级新闻媒体曝光、市级重大活动保障不力、市级检查失责等问题，凡经查证属实，扣除当月全部服务</w:t>
      </w:r>
      <w:r>
        <w:rPr>
          <w:rFonts w:ascii="仿宋_GB2312" w:hAnsi="仿宋_GB2312" w:cs="仿宋_GB2312" w:eastAsia="仿宋_GB2312"/>
          <w:sz w:val="24"/>
        </w:rPr>
        <w:t>费。</w:t>
      </w:r>
    </w:p>
    <w:p>
      <w:pPr>
        <w:pStyle w:val="null3"/>
      </w:pPr>
      <w:r>
        <w:rPr>
          <w:rFonts w:ascii="仿宋_GB2312" w:hAnsi="仿宋_GB2312" w:cs="仿宋_GB2312" w:eastAsia="仿宋_GB2312"/>
          <w:sz w:val="24"/>
        </w:rPr>
        <w:t>（4）</w:t>
      </w:r>
      <w:r>
        <w:rPr>
          <w:rFonts w:ascii="仿宋_GB2312" w:hAnsi="仿宋_GB2312" w:cs="仿宋_GB2312" w:eastAsia="仿宋_GB2312"/>
          <w:sz w:val="24"/>
        </w:rPr>
        <w:t>.因工作不到位被省级领导点名或通报批评、省级新闻媒体曝光、省级重大活动保障不力、省级检查失责等问题，凡经查证属实，扣除三个月全部服务费。</w:t>
      </w:r>
    </w:p>
    <w:p>
      <w:pPr>
        <w:pStyle w:val="null3"/>
      </w:pPr>
      <w:r>
        <w:rPr>
          <w:rFonts w:ascii="仿宋_GB2312" w:hAnsi="仿宋_GB2312" w:cs="仿宋_GB2312" w:eastAsia="仿宋_GB2312"/>
          <w:sz w:val="24"/>
        </w:rPr>
        <w:t>（5）</w:t>
      </w:r>
      <w:r>
        <w:rPr>
          <w:rFonts w:ascii="仿宋_GB2312" w:hAnsi="仿宋_GB2312" w:cs="仿宋_GB2312" w:eastAsia="仿宋_GB2312"/>
          <w:sz w:val="24"/>
        </w:rPr>
        <w:t>.因工作不到位被国家级领导点名或通报批评、国家级新闻媒体曝光、国家级重大活动保障不力、国家级检查失责等问题，凡经查证属实，采购人有权直接解除本合同。</w:t>
      </w:r>
    </w:p>
    <w:p>
      <w:pPr>
        <w:pStyle w:val="null3"/>
        <w:jc w:val="center"/>
      </w:pPr>
      <w:r>
        <w:rPr>
          <w:rFonts w:ascii="仿宋_GB2312" w:hAnsi="仿宋_GB2312" w:cs="仿宋_GB2312" w:eastAsia="仿宋_GB2312"/>
          <w:sz w:val="24"/>
        </w:rPr>
        <w:t>《</w:t>
      </w:r>
      <w:r>
        <w:rPr>
          <w:rFonts w:ascii="仿宋_GB2312" w:hAnsi="仿宋_GB2312" w:cs="仿宋_GB2312" w:eastAsia="仿宋_GB2312"/>
          <w:b/>
        </w:rPr>
        <w:t>闽江北港公园保安考核评分表》</w:t>
      </w:r>
    </w:p>
    <w:p>
      <w:pPr>
        <w:pStyle w:val="null3"/>
        <w:jc w:val="center"/>
      </w:pPr>
      <w:r>
        <w:rPr>
          <w:rFonts w:ascii="仿宋_GB2312" w:hAnsi="仿宋_GB2312" w:cs="仿宋_GB2312" w:eastAsia="仿宋_GB2312"/>
          <w:sz w:val="24"/>
        </w:rPr>
        <w:t xml:space="preserve">  检查时间：</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Borders>
              <w:top w:val="single" w:color="000000" w:sz="4"/>
              <w:left w:val="single" w:color="000000" w:sz="4"/>
              <w:bottom w:val="single" w:color="000000" w:sz="4"/>
              <w:right w:val="single" w:color="000000" w:sz="4"/>
            </w:tcBorders>
            <w:shd w:fill="FFFFFF"/>
            <w:tcMar>
              <w:top w:type="dxa" w:w="0"/>
              <w:left w:type="dxa" w:w="80"/>
              <w:bottom w:type="dxa" w:w="80"/>
              <w:right w:type="dxa" w:w="0"/>
            </w:tcMar>
          </w:tcPr>
          <w:p>
            <w:pPr>
              <w:pStyle w:val="null3"/>
              <w:jc w:val="both"/>
            </w:pPr>
            <w:r>
              <w:rPr>
                <w:rFonts w:ascii="仿宋_GB2312" w:hAnsi="仿宋_GB2312" w:cs="仿宋_GB2312" w:eastAsia="仿宋_GB2312"/>
                <w:sz w:val="24"/>
              </w:rPr>
              <w:t>项目</w:t>
            </w:r>
          </w:p>
        </w:tc>
        <w:tc>
          <w:tcPr>
            <w:tcW w:type="dxa" w:w="1661"/>
            <w:tcBorders>
              <w:top w:val="single" w:color="000000" w:sz="4"/>
              <w:left w:val="single" w:color="000000" w:sz="4"/>
              <w:bottom w:val="single" w:color="000000" w:sz="4"/>
              <w:right w:val="single" w:color="000000" w:sz="4"/>
            </w:tcBorders>
            <w:shd w:fill="FFFFFF"/>
            <w:tcMar>
              <w:top w:type="dxa" w:w="0"/>
              <w:left w:type="dxa" w:w="80"/>
              <w:bottom w:type="dxa" w:w="80"/>
              <w:right w:type="dxa" w:w="0"/>
            </w:tcMar>
          </w:tcPr>
          <w:p>
            <w:pPr>
              <w:pStyle w:val="null3"/>
              <w:ind w:firstLine="420"/>
              <w:jc w:val="center"/>
            </w:pPr>
            <w:r>
              <w:rPr>
                <w:rFonts w:ascii="仿宋_GB2312" w:hAnsi="仿宋_GB2312" w:cs="仿宋_GB2312" w:eastAsia="仿宋_GB2312"/>
                <w:sz w:val="24"/>
              </w:rPr>
              <w:t>规章制度</w:t>
            </w:r>
          </w:p>
        </w:tc>
        <w:tc>
          <w:tcPr>
            <w:tcW w:type="dxa" w:w="1661"/>
            <w:tcBorders>
              <w:top w:val="single" w:color="000000" w:sz="4"/>
              <w:left w:val="single" w:color="000000" w:sz="4"/>
              <w:bottom w:val="single" w:color="000000" w:sz="4"/>
              <w:right w:val="single" w:color="000000" w:sz="4"/>
            </w:tcBorders>
            <w:shd w:fill="FFFFFF"/>
            <w:tcMar>
              <w:top w:type="dxa" w:w="0"/>
              <w:left w:type="dxa" w:w="80"/>
              <w:bottom w:type="dxa" w:w="80"/>
              <w:right w:type="dxa" w:w="0"/>
            </w:tcMar>
          </w:tcPr>
          <w:p>
            <w:pPr>
              <w:pStyle w:val="null3"/>
              <w:ind w:firstLine="420"/>
              <w:jc w:val="center"/>
            </w:pPr>
            <w:r>
              <w:rPr>
                <w:rFonts w:ascii="仿宋_GB2312" w:hAnsi="仿宋_GB2312" w:cs="仿宋_GB2312" w:eastAsia="仿宋_GB2312"/>
                <w:sz w:val="24"/>
              </w:rPr>
              <w:t>细则及加/扣分标准</w:t>
            </w:r>
          </w:p>
        </w:tc>
        <w:tc>
          <w:tcPr>
            <w:tcW w:type="dxa" w:w="1661"/>
            <w:tcBorders>
              <w:top w:val="single" w:color="000000" w:sz="4"/>
              <w:left w:val="single" w:color="000000" w:sz="4"/>
              <w:bottom w:val="single" w:color="000000" w:sz="4"/>
              <w:right w:val="single" w:color="000000" w:sz="4"/>
            </w:tcBorders>
            <w:shd w:fill="FFFFFF"/>
            <w:tcMar>
              <w:top w:type="dxa" w:w="0"/>
              <w:left w:type="dxa" w:w="80"/>
              <w:bottom w:type="dxa" w:w="80"/>
              <w:right w:type="dxa" w:w="0"/>
            </w:tcMar>
          </w:tcPr>
          <w:p>
            <w:pPr>
              <w:pStyle w:val="null3"/>
              <w:jc w:val="both"/>
            </w:pPr>
            <w:r>
              <w:rPr>
                <w:rFonts w:ascii="仿宋_GB2312" w:hAnsi="仿宋_GB2312" w:cs="仿宋_GB2312" w:eastAsia="仿宋_GB2312"/>
                <w:sz w:val="24"/>
              </w:rPr>
              <w:t>标准分</w:t>
            </w:r>
          </w:p>
        </w:tc>
        <w:tc>
          <w:tcPr>
            <w:tcW w:type="dxa" w:w="1661"/>
            <w:tcBorders>
              <w:top w:val="single" w:color="000000" w:sz="4"/>
              <w:left w:val="single" w:color="000000" w:sz="4"/>
              <w:bottom w:val="single" w:color="000000" w:sz="4"/>
              <w:right w:val="single" w:color="000000" w:sz="4"/>
            </w:tcBorders>
            <w:shd w:fill="FFFFFF"/>
            <w:tcMar>
              <w:top w:type="dxa" w:w="0"/>
              <w:left w:type="dxa" w:w="80"/>
              <w:bottom w:type="dxa" w:w="80"/>
              <w:right w:type="dxa" w:w="0"/>
            </w:tcMar>
          </w:tcPr>
          <w:p>
            <w:pPr>
              <w:pStyle w:val="null3"/>
              <w:ind w:firstLine="280"/>
              <w:jc w:val="both"/>
            </w:pPr>
            <w:r>
              <w:rPr>
                <w:rFonts w:ascii="仿宋_GB2312" w:hAnsi="仿宋_GB2312" w:cs="仿宋_GB2312" w:eastAsia="仿宋_GB2312"/>
                <w:sz w:val="24"/>
              </w:rPr>
              <w:t>得分</w:t>
            </w:r>
          </w:p>
        </w:tc>
      </w:tr>
      <w:tr>
        <w:tc>
          <w:tcPr>
            <w:tcW w:type="dxa" w:w="1661"/>
            <w:vMerge w:val="restart"/>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both"/>
            </w:pPr>
            <w:r>
              <w:rPr>
                <w:rFonts w:ascii="仿宋_GB2312" w:hAnsi="仿宋_GB2312" w:cs="仿宋_GB2312" w:eastAsia="仿宋_GB2312"/>
                <w:sz w:val="24"/>
              </w:rPr>
              <w:t>岗位纪律（35分）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ind w:firstLine="420"/>
            </w:pPr>
            <w:r>
              <w:rPr>
                <w:rFonts w:ascii="仿宋_GB2312" w:hAnsi="仿宋_GB2312" w:cs="仿宋_GB2312" w:eastAsia="仿宋_GB2312"/>
                <w:sz w:val="24"/>
              </w:rPr>
              <w:t>1、不得脱岗或串岗，特殊情况除外。</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ind w:firstLine="420"/>
            </w:pPr>
            <w:r>
              <w:rPr>
                <w:rFonts w:ascii="仿宋_GB2312" w:hAnsi="仿宋_GB2312" w:cs="仿宋_GB2312" w:eastAsia="仿宋_GB2312"/>
                <w:sz w:val="24"/>
              </w:rPr>
              <w:t>每天每班次不得少于39人，其中电力设备维护人员2名，现场负责人1名，单个岗位，发现一次脱岗扣1分，发现两次扣2分，发现3次按旷工计，扣5分。（当</w:t>
            </w:r>
            <w:r>
              <w:rPr>
                <w:rFonts w:ascii="仿宋_GB2312" w:hAnsi="仿宋_GB2312" w:cs="仿宋_GB2312" w:eastAsia="仿宋_GB2312"/>
                <w:sz w:val="24"/>
              </w:rPr>
              <w:t>季</w:t>
            </w:r>
            <w:r>
              <w:rPr>
                <w:rFonts w:ascii="仿宋_GB2312" w:hAnsi="仿宋_GB2312" w:cs="仿宋_GB2312" w:eastAsia="仿宋_GB2312"/>
                <w:sz w:val="24"/>
              </w:rPr>
              <w:t>内累计计算）</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15分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pPr>
            <w:r>
              <w:rPr>
                <w:rFonts w:ascii="仿宋_GB2312" w:hAnsi="仿宋_GB2312" w:cs="仿宋_GB2312" w:eastAsia="仿宋_GB2312"/>
                <w:sz w:val="24"/>
              </w:rPr>
              <w:t>2、在岗位不得做与工作无关的事：包括吸烟、喝酒、聚众闲聊、嬉闹喧哗、吃零食、玩手机、睡觉等。</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ind w:firstLine="420"/>
            </w:pPr>
            <w:r>
              <w:rPr>
                <w:rFonts w:ascii="仿宋_GB2312" w:hAnsi="仿宋_GB2312" w:cs="仿宋_GB2312" w:eastAsia="仿宋_GB2312"/>
                <w:sz w:val="24"/>
              </w:rPr>
              <w:t>单个岗位，发现一次扣1分，发现两次扣2分，发现3次按旷工计，扣5分（当</w:t>
            </w:r>
            <w:r>
              <w:rPr>
                <w:rFonts w:ascii="仿宋_GB2312" w:hAnsi="仿宋_GB2312" w:cs="仿宋_GB2312" w:eastAsia="仿宋_GB2312"/>
                <w:sz w:val="24"/>
              </w:rPr>
              <w:t>季</w:t>
            </w:r>
            <w:r>
              <w:rPr>
                <w:rFonts w:ascii="仿宋_GB2312" w:hAnsi="仿宋_GB2312" w:cs="仿宋_GB2312" w:eastAsia="仿宋_GB2312"/>
                <w:sz w:val="24"/>
              </w:rPr>
              <w:t>内累计计算）。岗位内睡觉，视为旷工，扣5分/次。</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15分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pPr>
            <w:r>
              <w:rPr>
                <w:rFonts w:ascii="仿宋_GB2312" w:hAnsi="仿宋_GB2312" w:cs="仿宋_GB2312" w:eastAsia="仿宋_GB2312"/>
                <w:sz w:val="24"/>
              </w:rPr>
              <w:t>3、违反国家法律、法规，被有关部门给予处理或通知领回。</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ind w:firstLine="420"/>
            </w:pPr>
            <w:r>
              <w:rPr>
                <w:rFonts w:ascii="仿宋_GB2312" w:hAnsi="仿宋_GB2312" w:cs="仿宋_GB2312" w:eastAsia="仿宋_GB2312"/>
                <w:sz w:val="24"/>
              </w:rPr>
              <w:t>一次扣5分加开除。</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5分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val="restart"/>
            <w:tcBorders>
              <w:left w:val="single" w:color="000000" w:sz="4"/>
              <w:bottom w:val="single" w:color="000000" w:sz="4"/>
              <w:right w:val="single" w:color="000000" w:sz="4"/>
            </w:tcBorders>
            <w:tcMar>
              <w:top w:type="dxa" w:w="20"/>
              <w:left w:type="dxa" w:w="20"/>
              <w:bottom w:type="dxa" w:w="20"/>
              <w:right w:type="dxa" w:w="20"/>
            </w:tcMar>
            <w:vAlign w:val="top"/>
          </w:tcPr>
          <w:p>
            <w:pPr>
              <w:pStyle w:val="null3"/>
              <w:jc w:val="both"/>
            </w:pPr>
            <w:r>
              <w:rPr>
                <w:rFonts w:ascii="仿宋_GB2312" w:hAnsi="仿宋_GB2312" w:cs="仿宋_GB2312" w:eastAsia="仿宋_GB2312"/>
                <w:sz w:val="24"/>
              </w:rPr>
              <w:t>岗位职责（55分）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ind w:firstLine="420"/>
            </w:pPr>
            <w:r>
              <w:rPr>
                <w:rFonts w:ascii="仿宋_GB2312" w:hAnsi="仿宋_GB2312" w:cs="仿宋_GB2312" w:eastAsia="仿宋_GB2312"/>
                <w:sz w:val="24"/>
              </w:rPr>
              <w:t>1、 听从命令，服从指挥。</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ind w:firstLine="420"/>
            </w:pPr>
            <w:r>
              <w:rPr>
                <w:rFonts w:ascii="仿宋_GB2312" w:hAnsi="仿宋_GB2312" w:cs="仿宋_GB2312" w:eastAsia="仿宋_GB2312"/>
                <w:sz w:val="24"/>
              </w:rPr>
              <w:t>未能及时完成甲方交办工作，扣1分/次</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5分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tcBorders>
              <w:left w:val="single" w:color="000000" w:sz="4"/>
              <w:bottom w:val="single" w:color="000000" w:sz="4"/>
              <w:right w:val="single" w:color="000000" w:sz="4"/>
            </w:tcBorders>
          </w:tcPr>
          <w:p/>
        </w:tc>
        <w:tc>
          <w:tcPr>
            <w:tcW w:type="dxa" w:w="1661"/>
            <w:vMerge w:val="restart"/>
            <w:tcBorders>
              <w:left w:val="single" w:color="000000" w:sz="4"/>
              <w:bottom w:val="single" w:color="000000" w:sz="4"/>
              <w:right w:val="single" w:color="000000" w:sz="4"/>
            </w:tcBorders>
            <w:shd w:fill="FFFFFF"/>
            <w:tcMar>
              <w:top w:type="dxa" w:w="0"/>
              <w:left w:type="dxa" w:w="80"/>
              <w:bottom w:type="dxa" w:w="80"/>
              <w:right w:type="dxa" w:w="0"/>
            </w:tcMar>
          </w:tcPr>
          <w:p>
            <w:pPr>
              <w:pStyle w:val="null3"/>
            </w:pPr>
            <w:r>
              <w:rPr>
                <w:rFonts w:ascii="仿宋_GB2312" w:hAnsi="仿宋_GB2312" w:cs="仿宋_GB2312" w:eastAsia="仿宋_GB2312"/>
                <w:sz w:val="24"/>
              </w:rPr>
              <w:t>2、岗位执勤制度。</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both"/>
            </w:pPr>
            <w:r>
              <w:rPr>
                <w:rFonts w:ascii="仿宋_GB2312" w:hAnsi="仿宋_GB2312" w:cs="仿宋_GB2312" w:eastAsia="仿宋_GB2312"/>
                <w:sz w:val="24"/>
              </w:rPr>
              <w:t>未经许可的车辆入园，扣1分/次</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3分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tcBorders>
              <w:left w:val="single" w:color="000000" w:sz="4"/>
              <w:bottom w:val="single" w:color="000000" w:sz="4"/>
              <w:right w:val="single" w:color="000000" w:sz="4"/>
            </w:tcBorders>
          </w:tcPr>
          <w:p/>
        </w:tc>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both"/>
            </w:pPr>
            <w:r>
              <w:rPr>
                <w:rFonts w:ascii="仿宋_GB2312" w:hAnsi="仿宋_GB2312" w:cs="仿宋_GB2312" w:eastAsia="仿宋_GB2312"/>
                <w:sz w:val="24"/>
              </w:rPr>
              <w:t>公园内出现钓鱼、捕鱼、擅自营火、宿营、放孔明灯、无人机、燃放烟花爆竹的，扣1分/次</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tcBorders>
              <w:left w:val="single" w:color="000000" w:sz="4"/>
              <w:bottom w:val="single" w:color="000000" w:sz="4"/>
              <w:right w:val="single" w:color="000000" w:sz="4"/>
            </w:tcBorders>
          </w:tcPr>
          <w:p/>
        </w:tc>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both"/>
            </w:pPr>
            <w:r>
              <w:rPr>
                <w:rFonts w:ascii="仿宋_GB2312" w:hAnsi="仿宋_GB2312" w:cs="仿宋_GB2312" w:eastAsia="仿宋_GB2312"/>
                <w:sz w:val="24"/>
              </w:rPr>
              <w:t>公园内出现赌博、算命、占卜等迷信活动的，扣1分/次</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5分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tcBorders>
              <w:left w:val="single" w:color="000000" w:sz="4"/>
              <w:bottom w:val="single" w:color="000000" w:sz="4"/>
              <w:right w:val="single" w:color="000000" w:sz="4"/>
            </w:tcBorders>
          </w:tcPr>
          <w:p/>
        </w:tc>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both"/>
            </w:pPr>
            <w:r>
              <w:rPr>
                <w:rFonts w:ascii="仿宋_GB2312" w:hAnsi="仿宋_GB2312" w:cs="仿宋_GB2312" w:eastAsia="仿宋_GB2312"/>
                <w:sz w:val="24"/>
              </w:rPr>
              <w:t>公园内出现广场舞、扩音喇叭、音响、唱歌、乐器演奏等噪音扰民或被市民投诉的，扣1分/次</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5分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tcBorders>
              <w:left w:val="single" w:color="000000" w:sz="4"/>
              <w:bottom w:val="single" w:color="000000" w:sz="4"/>
              <w:right w:val="single" w:color="000000" w:sz="4"/>
            </w:tcBorders>
          </w:tcPr>
          <w:p/>
        </w:tc>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both"/>
            </w:pPr>
            <w:r>
              <w:rPr>
                <w:rFonts w:ascii="仿宋_GB2312" w:hAnsi="仿宋_GB2312" w:cs="仿宋_GB2312" w:eastAsia="仿宋_GB2312"/>
                <w:sz w:val="24"/>
              </w:rPr>
              <w:t>公园内出现遛狗、骑自行车、打球等妨碍游客游园安全的，扣1分/次</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5分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tcBorders>
              <w:left w:val="single" w:color="000000" w:sz="4"/>
              <w:bottom w:val="single" w:color="000000" w:sz="4"/>
              <w:right w:val="single" w:color="000000" w:sz="4"/>
            </w:tcBorders>
          </w:tcPr>
          <w:p/>
        </w:tc>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both"/>
            </w:pPr>
            <w:r>
              <w:rPr>
                <w:rFonts w:ascii="仿宋_GB2312" w:hAnsi="仿宋_GB2312" w:cs="仿宋_GB2312" w:eastAsia="仿宋_GB2312"/>
                <w:sz w:val="24"/>
              </w:rPr>
              <w:t>公园内出现卖艺乞讨、摆摊设点、发放广告、宣传材料、理发、擦皮鞋等，扣1分/次</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5分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tcBorders>
              <w:left w:val="single" w:color="000000" w:sz="4"/>
              <w:bottom w:val="single" w:color="000000" w:sz="4"/>
              <w:right w:val="single" w:color="000000" w:sz="4"/>
            </w:tcBorders>
          </w:tcPr>
          <w:p/>
        </w:tc>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both"/>
            </w:pPr>
            <w:r>
              <w:rPr>
                <w:rFonts w:ascii="仿宋_GB2312" w:hAnsi="仿宋_GB2312" w:cs="仿宋_GB2312" w:eastAsia="仿宋_GB2312"/>
                <w:sz w:val="24"/>
              </w:rPr>
              <w:t>游客踩踏草坪、乱扔果皮纸屑等未及时加以制止的，出现乱张贴、乱涂刻的，扣1分/次。</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3分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tcBorders>
              <w:left w:val="single" w:color="000000" w:sz="4"/>
              <w:bottom w:val="single" w:color="000000" w:sz="4"/>
              <w:right w:val="single" w:color="000000" w:sz="4"/>
            </w:tcBorders>
          </w:tcPr>
          <w:p/>
        </w:tc>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pPr>
            <w:r>
              <w:rPr>
                <w:rFonts w:ascii="仿宋_GB2312" w:hAnsi="仿宋_GB2312" w:cs="仿宋_GB2312" w:eastAsia="仿宋_GB2312"/>
                <w:sz w:val="24"/>
              </w:rPr>
              <w:t>公园里水电、建筑、栏杆、铁门、绿化、广告等设施被人为破坏的，扣1分/次；未及时按原样恢复的，扣2分/次。</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tcBorders>
              <w:left w:val="single" w:color="000000" w:sz="4"/>
              <w:bottom w:val="single" w:color="000000" w:sz="4"/>
              <w:right w:val="single" w:color="000000" w:sz="4"/>
            </w:tcBorders>
          </w:tcPr>
          <w:p/>
        </w:tc>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pPr>
            <w:r>
              <w:rPr>
                <w:rFonts w:ascii="仿宋_GB2312" w:hAnsi="仿宋_GB2312" w:cs="仿宋_GB2312" w:eastAsia="仿宋_GB2312"/>
                <w:sz w:val="24"/>
              </w:rPr>
              <w:t>定期对公园场所内的基础设施进行维护保养，进行安全隐患排查，并做好保养、检查记录台账，未对公园基础设施进行定期维护保养，扣1分/次；未进行定期维护保养导致设施损坏的且未对损坏及时维修的，扣5分/次。</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5分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tcBorders>
              <w:left w:val="single" w:color="000000" w:sz="4"/>
              <w:bottom w:val="single" w:color="000000" w:sz="4"/>
              <w:right w:val="single" w:color="000000" w:sz="4"/>
            </w:tcBorders>
          </w:tcPr>
          <w:p/>
        </w:tc>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pPr>
            <w:r>
              <w:rPr>
                <w:rFonts w:ascii="仿宋_GB2312" w:hAnsi="仿宋_GB2312" w:cs="仿宋_GB2312" w:eastAsia="仿宋_GB2312"/>
                <w:sz w:val="24"/>
              </w:rPr>
              <w:t>公园内偷盗盆花树木、攀爬树木等现象的，扣1分/次。</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2分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tcBorders>
              <w:left w:val="single" w:color="000000" w:sz="4"/>
              <w:bottom w:val="single" w:color="000000" w:sz="4"/>
              <w:right w:val="single" w:color="000000" w:sz="4"/>
            </w:tcBorders>
          </w:tcPr>
          <w:p/>
        </w:tc>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pPr>
            <w:r>
              <w:rPr>
                <w:rFonts w:ascii="仿宋_GB2312" w:hAnsi="仿宋_GB2312" w:cs="仿宋_GB2312" w:eastAsia="仿宋_GB2312"/>
                <w:sz w:val="24"/>
              </w:rPr>
              <w:t>未进行安全隐患排查、未按时检查灭火器具、未展开针对性演练、未按照相关规则制度、落实相关预案的，扣2分/次</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4分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pPr>
            <w:r>
              <w:rPr>
                <w:rFonts w:ascii="仿宋_GB2312" w:hAnsi="仿宋_GB2312" w:cs="仿宋_GB2312" w:eastAsia="仿宋_GB2312"/>
                <w:sz w:val="24"/>
              </w:rPr>
              <w:t>3、汇报制度。</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ind w:firstLine="420"/>
            </w:pPr>
            <w:r>
              <w:rPr>
                <w:rFonts w:ascii="仿宋_GB2312" w:hAnsi="仿宋_GB2312" w:cs="仿宋_GB2312" w:eastAsia="仿宋_GB2312"/>
                <w:sz w:val="24"/>
              </w:rPr>
              <w:t>（1）依法处理各种违法事件时，如需暂扣人员与物品应予以及时汇报。（未能完成，扣2分/次）</w:t>
            </w:r>
          </w:p>
          <w:p>
            <w:pPr>
              <w:pStyle w:val="null3"/>
              <w:ind w:firstLine="420"/>
            </w:pPr>
            <w:r>
              <w:rPr>
                <w:rFonts w:ascii="仿宋_GB2312" w:hAnsi="仿宋_GB2312" w:cs="仿宋_GB2312" w:eastAsia="仿宋_GB2312"/>
                <w:sz w:val="24"/>
              </w:rPr>
              <w:t>（2）执勤时如遇突发事件、紧急处置后，未及时电话报告甲方，并做好记录，扣2分/次</w:t>
            </w:r>
          </w:p>
          <w:p>
            <w:pPr>
              <w:pStyle w:val="null3"/>
              <w:ind w:firstLine="420"/>
            </w:pPr>
            <w:r>
              <w:rPr>
                <w:rFonts w:ascii="仿宋_GB2312" w:hAnsi="仿宋_GB2312" w:cs="仿宋_GB2312" w:eastAsia="仿宋_GB2312"/>
                <w:sz w:val="24"/>
              </w:rPr>
              <w:t>（3）有责任紧急报警，保护好刑事案件及治安事故现场，直到交接至有关部门。（未能完成，扣5分/次）</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5分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val="restart"/>
            <w:tcBorders>
              <w:left w:val="single" w:color="000000" w:sz="4"/>
              <w:bottom w:val="single" w:color="000000" w:sz="4"/>
              <w:right w:val="single" w:color="000000" w:sz="4"/>
            </w:tcBorders>
            <w:tcMar>
              <w:top w:type="dxa" w:w="20"/>
              <w:left w:type="dxa" w:w="20"/>
              <w:bottom w:type="dxa" w:w="20"/>
              <w:right w:type="dxa" w:w="20"/>
            </w:tcMar>
            <w:vAlign w:val="top"/>
          </w:tcPr>
          <w:p>
            <w:pPr>
              <w:pStyle w:val="null3"/>
              <w:jc w:val="both"/>
            </w:pPr>
            <w:r>
              <w:rPr>
                <w:rFonts w:ascii="仿宋_GB2312" w:hAnsi="仿宋_GB2312" w:cs="仿宋_GB2312" w:eastAsia="仿宋_GB2312"/>
                <w:sz w:val="24"/>
              </w:rPr>
              <w:t>仪容仪表（10分）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ind w:firstLine="420"/>
            </w:pPr>
            <w:r>
              <w:rPr>
                <w:rFonts w:ascii="仿宋_GB2312" w:hAnsi="仿宋_GB2312" w:cs="仿宋_GB2312" w:eastAsia="仿宋_GB2312"/>
                <w:sz w:val="24"/>
              </w:rPr>
              <w:t>1、着装整洁，仪表端正。</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ind w:firstLine="420"/>
            </w:pPr>
            <w:r>
              <w:rPr>
                <w:rFonts w:ascii="仿宋_GB2312" w:hAnsi="仿宋_GB2312" w:cs="仿宋_GB2312" w:eastAsia="仿宋_GB2312"/>
                <w:sz w:val="24"/>
              </w:rPr>
              <w:t>（1）应在上岗提前着装完毕，在岗位更换装束的，未按规定着保安服、执勤时未带帽子、未配齐装备的，扣1分/次</w:t>
            </w:r>
          </w:p>
          <w:p>
            <w:pPr>
              <w:pStyle w:val="null3"/>
              <w:ind w:firstLine="420"/>
            </w:pPr>
            <w:r>
              <w:rPr>
                <w:rFonts w:ascii="仿宋_GB2312" w:hAnsi="仿宋_GB2312" w:cs="仿宋_GB2312" w:eastAsia="仿宋_GB2312"/>
                <w:sz w:val="24"/>
              </w:rPr>
              <w:t>（2）不得蓄长发、蓄胡须。（未能完成，扣1分/次）</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4分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pPr>
            <w:r>
              <w:rPr>
                <w:rFonts w:ascii="仿宋_GB2312" w:hAnsi="仿宋_GB2312" w:cs="仿宋_GB2312" w:eastAsia="仿宋_GB2312"/>
                <w:sz w:val="24"/>
              </w:rPr>
              <w:t>2、文明礼貌。</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ind w:firstLine="420"/>
            </w:pPr>
            <w:r>
              <w:rPr>
                <w:rFonts w:ascii="仿宋_GB2312" w:hAnsi="仿宋_GB2312" w:cs="仿宋_GB2312" w:eastAsia="仿宋_GB2312"/>
                <w:sz w:val="24"/>
              </w:rPr>
              <w:t>精神面貌好，文明用语，不与游客无故冲突。（未能完成，发现一次扣1分）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3分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pPr>
            <w:r>
              <w:rPr>
                <w:rFonts w:ascii="仿宋_GB2312" w:hAnsi="仿宋_GB2312" w:cs="仿宋_GB2312" w:eastAsia="仿宋_GB2312"/>
                <w:sz w:val="24"/>
              </w:rPr>
              <w:t>3、岗位卫生。</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ind w:firstLine="420"/>
            </w:pPr>
            <w:r>
              <w:rPr>
                <w:rFonts w:ascii="仿宋_GB2312" w:hAnsi="仿宋_GB2312" w:cs="仿宋_GB2312" w:eastAsia="仿宋_GB2312"/>
                <w:sz w:val="24"/>
              </w:rPr>
              <w:t>（1）岗亭内卫生整洁，岗亭内及周边（3米范围内）地面有两处以上烟头、垃圾杂物的，扣1分/次</w:t>
            </w:r>
          </w:p>
          <w:p>
            <w:pPr>
              <w:pStyle w:val="null3"/>
              <w:ind w:firstLine="420"/>
            </w:pPr>
            <w:r>
              <w:rPr>
                <w:rFonts w:ascii="仿宋_GB2312" w:hAnsi="仿宋_GB2312" w:cs="仿宋_GB2312" w:eastAsia="仿宋_GB2312"/>
                <w:sz w:val="24"/>
              </w:rPr>
              <w:t>（2）使用电器不符合安全要求，乱拉、私拉电线、超负荷使用电器的，发现一次扣1分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sz w:val="24"/>
              </w:rPr>
              <w:t>3分</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jc w:val="center"/>
            </w:pPr>
            <w:r>
              <w:rPr>
                <w:rFonts w:ascii="仿宋_GB2312" w:hAnsi="仿宋_GB2312" w:cs="仿宋_GB2312" w:eastAsia="仿宋_GB2312"/>
              </w:rPr>
              <w:t xml:space="preserve"> </w:t>
            </w:r>
          </w:p>
        </w:tc>
      </w:tr>
      <w:tr>
        <w:tc>
          <w:tcPr>
            <w:tcW w:type="dxa" w:w="1661"/>
            <w:vMerge w:val="restart"/>
            <w:tcBorders>
              <w:left w:val="single" w:color="000000" w:sz="4"/>
              <w:bottom w:val="single" w:color="000000" w:sz="4"/>
              <w:right w:val="single" w:color="000000" w:sz="4"/>
            </w:tcBorders>
            <w:shd w:fill="FFFFFF"/>
            <w:tcMar>
              <w:top w:type="dxa" w:w="20"/>
              <w:left w:type="dxa" w:w="20"/>
              <w:bottom w:type="dxa" w:w="20"/>
              <w:right w:type="dxa" w:w="20"/>
            </w:tcMar>
          </w:tcPr>
          <w:p>
            <w:pPr>
              <w:pStyle w:val="null3"/>
              <w:jc w:val="both"/>
            </w:pPr>
            <w:r>
              <w:rPr>
                <w:rFonts w:ascii="仿宋_GB2312" w:hAnsi="仿宋_GB2312" w:cs="仿宋_GB2312" w:eastAsia="仿宋_GB2312"/>
                <w:sz w:val="24"/>
              </w:rPr>
              <w:t>附加分项</w:t>
            </w:r>
          </w:p>
        </w:tc>
        <w:tc>
          <w:tcPr>
            <w:tcW w:type="dxa" w:w="1661"/>
            <w:tcBorders>
              <w:left w:val="single" w:color="000000" w:sz="4"/>
              <w:bottom w:val="single" w:color="000000" w:sz="4"/>
              <w:right w:val="single" w:color="000000" w:sz="4"/>
            </w:tcBorders>
            <w:shd w:fill="FFFFFF"/>
            <w:tcMar>
              <w:top w:type="dxa" w:w="0"/>
              <w:left w:type="dxa" w:w="80"/>
              <w:bottom w:type="dxa" w:w="80"/>
              <w:right w:type="dxa" w:w="0"/>
            </w:tcMar>
          </w:tcPr>
          <w:p>
            <w:pPr>
              <w:pStyle w:val="null3"/>
              <w:ind w:firstLine="420"/>
            </w:pPr>
            <w:r>
              <w:rPr>
                <w:rFonts w:ascii="仿宋_GB2312" w:hAnsi="仿宋_GB2312" w:cs="仿宋_GB2312" w:eastAsia="仿宋_GB2312"/>
                <w:sz w:val="24"/>
              </w:rPr>
              <w:t>1、见义勇为、使公物免受损失的</w:t>
            </w:r>
          </w:p>
        </w:tc>
        <w:tc>
          <w:tcPr>
            <w:tcW w:type="dxa" w:w="1661"/>
            <w:tcBorders>
              <w:left w:val="single" w:color="000000" w:sz="4"/>
              <w:bottom w:val="single" w:color="000000" w:sz="4"/>
              <w:right w:val="single" w:color="000000" w:sz="4"/>
            </w:tcBorders>
            <w:shd w:fill="FFFFFF"/>
            <w:tcMar>
              <w:top w:type="dxa" w:w="0"/>
              <w:left w:type="dxa" w:w="20"/>
              <w:bottom w:type="dxa" w:w="20"/>
              <w:right w:type="dxa" w:w="0"/>
            </w:tcMar>
          </w:tcPr>
          <w:p>
            <w:pPr>
              <w:pStyle w:val="null3"/>
              <w:ind w:firstLine="420"/>
              <w:jc w:val="center"/>
            </w:pPr>
            <w:r>
              <w:rPr>
                <w:rFonts w:ascii="仿宋_GB2312" w:hAnsi="仿宋_GB2312" w:cs="仿宋_GB2312" w:eastAsia="仿宋_GB2312"/>
                <w:sz w:val="24"/>
              </w:rPr>
              <w:t>+2分/次</w:t>
            </w:r>
          </w:p>
        </w:tc>
        <w:tc>
          <w:tcPr>
            <w:tcW w:type="dxa" w:w="1661"/>
            <w:tcBorders>
              <w:left w:val="single" w:color="000000" w:sz="4"/>
              <w:bottom w:val="single" w:color="000000" w:sz="4"/>
              <w:right w:val="single" w:color="000000" w:sz="4"/>
            </w:tcBorders>
            <w:shd w:fill="FFFFFF"/>
            <w:tcMar>
              <w:top w:type="dxa" w:w="0"/>
              <w:left w:type="dxa" w:w="20"/>
              <w:bottom w:type="dxa" w:w="20"/>
              <w:right w:type="dxa" w:w="0"/>
            </w:tcMar>
          </w:tcPr>
          <w:p>
            <w:pPr>
              <w:pStyle w:val="null3"/>
              <w:ind w:firstLine="420"/>
              <w:jc w:val="center"/>
            </w:pPr>
            <w:r>
              <w:rPr>
                <w:rFonts w:ascii="仿宋_GB2312" w:hAnsi="仿宋_GB2312" w:cs="仿宋_GB2312" w:eastAsia="仿宋_GB2312"/>
              </w:rPr>
              <w:t xml:space="preserve"> </w:t>
            </w:r>
          </w:p>
        </w:tc>
        <w:tc>
          <w:tcPr>
            <w:tcW w:type="dxa" w:w="1661"/>
            <w:tcBorders>
              <w:left w:val="single" w:color="000000" w:sz="4"/>
              <w:bottom w:val="single" w:color="000000" w:sz="4"/>
              <w:right w:val="single" w:color="000000" w:sz="4"/>
            </w:tcBorders>
            <w:shd w:fill="FFFFFF"/>
            <w:tcMar>
              <w:top w:type="dxa" w:w="0"/>
              <w:left w:type="dxa" w:w="20"/>
              <w:bottom w:type="dxa" w:w="20"/>
              <w:right w:type="dxa" w:w="0"/>
            </w:tcMar>
          </w:tcPr>
          <w:p>
            <w:pPr>
              <w:pStyle w:val="null3"/>
              <w:jc w:val="both"/>
            </w:pPr>
            <w:r>
              <w:rPr>
                <w:rFonts w:ascii="仿宋_GB2312" w:hAnsi="仿宋_GB2312" w:cs="仿宋_GB2312" w:eastAsia="仿宋_GB2312"/>
                <w:sz w:val="21"/>
              </w:rPr>
              <w:t xml:space="preserve"> </w:t>
            </w:r>
          </w:p>
        </w:tc>
      </w:tr>
      <w:tr>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pPr>
            <w:r>
              <w:rPr>
                <w:rFonts w:ascii="仿宋_GB2312" w:hAnsi="仿宋_GB2312" w:cs="仿宋_GB2312" w:eastAsia="仿宋_GB2312"/>
                <w:sz w:val="24"/>
              </w:rPr>
              <w:t>2、拾金不昧、使群众财物免受损失的</w:t>
            </w: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ind w:firstLine="420"/>
              <w:jc w:val="center"/>
            </w:pPr>
            <w:r>
              <w:rPr>
                <w:rFonts w:ascii="仿宋_GB2312" w:hAnsi="仿宋_GB2312" w:cs="仿宋_GB2312" w:eastAsia="仿宋_GB2312"/>
                <w:sz w:val="24"/>
              </w:rPr>
              <w:t>+2分/次</w:t>
            </w: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ind w:firstLine="420"/>
              <w:jc w:val="center"/>
            </w:pPr>
            <w:r>
              <w:rPr>
                <w:rFonts w:ascii="仿宋_GB2312" w:hAnsi="仿宋_GB2312" w:cs="仿宋_GB2312" w:eastAsia="仿宋_GB2312"/>
              </w:rPr>
              <w:t xml:space="preserve"> </w:t>
            </w: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jc w:val="both"/>
            </w:pPr>
            <w:r>
              <w:rPr>
                <w:rFonts w:ascii="仿宋_GB2312" w:hAnsi="仿宋_GB2312" w:cs="仿宋_GB2312" w:eastAsia="仿宋_GB2312"/>
                <w:sz w:val="21"/>
              </w:rPr>
              <w:t xml:space="preserve"> </w:t>
            </w:r>
          </w:p>
        </w:tc>
      </w:tr>
      <w:tr>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pPr>
            <w:r>
              <w:rPr>
                <w:rFonts w:ascii="仿宋_GB2312" w:hAnsi="仿宋_GB2312" w:cs="仿宋_GB2312" w:eastAsia="仿宋_GB2312"/>
                <w:sz w:val="24"/>
              </w:rPr>
              <w:t>3、在日常巡逻中，工作表现特别突出者给予奖励</w:t>
            </w: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ind w:firstLine="420"/>
              <w:jc w:val="center"/>
            </w:pPr>
            <w:r>
              <w:rPr>
                <w:rFonts w:ascii="仿宋_GB2312" w:hAnsi="仿宋_GB2312" w:cs="仿宋_GB2312" w:eastAsia="仿宋_GB2312"/>
                <w:sz w:val="24"/>
              </w:rPr>
              <w:t>+2分/次</w:t>
            </w: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ind w:firstLine="420"/>
              <w:jc w:val="center"/>
            </w:pPr>
            <w:r>
              <w:rPr>
                <w:rFonts w:ascii="仿宋_GB2312" w:hAnsi="仿宋_GB2312" w:cs="仿宋_GB2312" w:eastAsia="仿宋_GB2312"/>
              </w:rPr>
              <w:t xml:space="preserve"> </w:t>
            </w: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jc w:val="both"/>
            </w:pPr>
            <w:r>
              <w:rPr>
                <w:rFonts w:ascii="仿宋_GB2312" w:hAnsi="仿宋_GB2312" w:cs="仿宋_GB2312" w:eastAsia="仿宋_GB2312"/>
                <w:sz w:val="21"/>
              </w:rPr>
              <w:t xml:space="preserve"> </w:t>
            </w:r>
          </w:p>
        </w:tc>
      </w:tr>
      <w:tr>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pPr>
            <w:r>
              <w:rPr>
                <w:rFonts w:ascii="仿宋_GB2312" w:hAnsi="仿宋_GB2312" w:cs="仿宋_GB2312" w:eastAsia="仿宋_GB2312"/>
                <w:sz w:val="24"/>
              </w:rPr>
              <w:t>4、在配合业主单位行动中，有特别突出表现，受到业主单位嘉奖的</w:t>
            </w: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ind w:firstLine="420"/>
              <w:jc w:val="center"/>
            </w:pPr>
            <w:r>
              <w:rPr>
                <w:rFonts w:ascii="仿宋_GB2312" w:hAnsi="仿宋_GB2312" w:cs="仿宋_GB2312" w:eastAsia="仿宋_GB2312"/>
                <w:sz w:val="24"/>
              </w:rPr>
              <w:t>+1分/次</w:t>
            </w: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ind w:firstLine="420"/>
              <w:jc w:val="center"/>
            </w:pPr>
            <w:r>
              <w:rPr>
                <w:rFonts w:ascii="仿宋_GB2312" w:hAnsi="仿宋_GB2312" w:cs="仿宋_GB2312" w:eastAsia="仿宋_GB2312"/>
              </w:rPr>
              <w:t xml:space="preserve"> </w:t>
            </w: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jc w:val="both"/>
            </w:pPr>
            <w:r>
              <w:rPr>
                <w:rFonts w:ascii="仿宋_GB2312" w:hAnsi="仿宋_GB2312" w:cs="仿宋_GB2312" w:eastAsia="仿宋_GB2312"/>
                <w:sz w:val="21"/>
              </w:rPr>
              <w:t xml:space="preserve"> </w:t>
            </w:r>
          </w:p>
        </w:tc>
      </w:tr>
      <w:tr>
        <w:tc>
          <w:tcPr>
            <w:tcW w:type="dxa" w:w="1661"/>
            <w:vMerge/>
            <w:tcBorders>
              <w:left w:val="single" w:color="000000" w:sz="4"/>
              <w:bottom w:val="single" w:color="000000" w:sz="4"/>
              <w:right w:val="single" w:color="000000" w:sz="4"/>
            </w:tcBorders>
          </w:tcP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pPr>
            <w:r>
              <w:rPr>
                <w:rFonts w:ascii="仿宋_GB2312" w:hAnsi="仿宋_GB2312" w:cs="仿宋_GB2312" w:eastAsia="仿宋_GB2312"/>
                <w:sz w:val="24"/>
              </w:rPr>
              <w:t>5、在突发事件中，工作表现特别突出者给予奖励</w:t>
            </w: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ind w:firstLine="420"/>
              <w:jc w:val="center"/>
            </w:pPr>
            <w:r>
              <w:rPr>
                <w:rFonts w:ascii="仿宋_GB2312" w:hAnsi="仿宋_GB2312" w:cs="仿宋_GB2312" w:eastAsia="仿宋_GB2312"/>
                <w:sz w:val="24"/>
              </w:rPr>
              <w:t>+5分/次</w:t>
            </w: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ind w:firstLine="420"/>
              <w:jc w:val="center"/>
            </w:pPr>
            <w:r>
              <w:rPr>
                <w:rFonts w:ascii="仿宋_GB2312" w:hAnsi="仿宋_GB2312" w:cs="仿宋_GB2312" w:eastAsia="仿宋_GB2312"/>
              </w:rPr>
              <w:t xml:space="preserve"> </w:t>
            </w: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jc w:val="both"/>
            </w:pPr>
            <w:r>
              <w:rPr>
                <w:rFonts w:ascii="仿宋_GB2312" w:hAnsi="仿宋_GB2312" w:cs="仿宋_GB2312" w:eastAsia="仿宋_GB2312"/>
                <w:sz w:val="21"/>
              </w:rPr>
              <w:t xml:space="preserve"> </w:t>
            </w:r>
          </w:p>
        </w:tc>
      </w:tr>
      <w:tr>
        <w:tc>
          <w:tcPr>
            <w:tcW w:type="dxa" w:w="4983"/>
            <w:gridSpan w:val="3"/>
            <w:tcBorders>
              <w:left w:val="single" w:color="000000" w:sz="4"/>
              <w:bottom w:val="single" w:color="000000" w:sz="4"/>
              <w:right w:val="single" w:color="000000" w:sz="4"/>
            </w:tcBorders>
            <w:tcMar>
              <w:top w:type="dxa" w:w="20"/>
              <w:left w:type="dxa" w:w="20"/>
              <w:bottom w:type="dxa" w:w="20"/>
              <w:right w:type="dxa" w:w="20"/>
            </w:tcMar>
            <w:vAlign w:val="top"/>
          </w:tcPr>
          <w:p>
            <w:pPr>
              <w:pStyle w:val="null3"/>
              <w:jc w:val="center"/>
            </w:pPr>
            <w:r>
              <w:rPr>
                <w:rFonts w:ascii="仿宋_GB2312" w:hAnsi="仿宋_GB2312" w:cs="仿宋_GB2312" w:eastAsia="仿宋_GB2312"/>
                <w:sz w:val="24"/>
              </w:rPr>
              <w:t>合计</w:t>
            </w: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ind w:firstLine="420"/>
              <w:jc w:val="center"/>
            </w:pPr>
            <w:r>
              <w:rPr>
                <w:rFonts w:ascii="仿宋_GB2312" w:hAnsi="仿宋_GB2312" w:cs="仿宋_GB2312" w:eastAsia="仿宋_GB2312"/>
              </w:rPr>
              <w:t xml:space="preserve"> </w:t>
            </w:r>
          </w:p>
        </w:tc>
        <w:tc>
          <w:tcPr>
            <w:tcW w:type="dxa" w:w="1661"/>
            <w:tcBorders>
              <w:left w:val="single" w:color="000000" w:sz="4"/>
              <w:bottom w:val="single" w:color="000000" w:sz="4"/>
              <w:right w:val="single" w:color="000000" w:sz="4"/>
            </w:tcBorders>
            <w:shd w:fill="FFFFFF"/>
            <w:tcMar>
              <w:top w:type="dxa" w:w="20"/>
              <w:left w:type="dxa" w:w="20"/>
              <w:bottom w:type="dxa" w:w="20"/>
              <w:right w:type="dxa" w:w="20"/>
            </w:tcMar>
          </w:tcPr>
          <w:p>
            <w:pPr>
              <w:pStyle w:val="null3"/>
              <w:jc w:val="both"/>
            </w:pPr>
            <w:r>
              <w:rPr>
                <w:rFonts w:ascii="仿宋_GB2312" w:hAnsi="仿宋_GB2312" w:cs="仿宋_GB2312" w:eastAsia="仿宋_GB2312"/>
                <w:sz w:val="21"/>
              </w:rPr>
              <w:t xml:space="preserve"> </w:t>
            </w:r>
          </w:p>
        </w:tc>
      </w:tr>
    </w:tbl>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rPr>
        <w:t>备注：如被中心主要领导巡查发现存在问题的，按照以上考核表中规定标准双倍扣分；加分评定以局机关书面表扬为准。</w:t>
      </w:r>
    </w:p>
    <w:p>
      <w:pPr>
        <w:pStyle w:val="null3"/>
        <w:jc w:val="both"/>
      </w:pPr>
      <w:r>
        <w:rPr>
          <w:rFonts w:ascii="仿宋_GB2312" w:hAnsi="仿宋_GB2312" w:cs="仿宋_GB2312" w:eastAsia="仿宋_GB2312"/>
          <w:sz w:val="24"/>
        </w:rPr>
        <w:t>闽江北港公园负责人： 公园科负责人： 乙方负责人：</w:t>
      </w:r>
    </w:p>
    <w:p>
      <w:pPr>
        <w:pStyle w:val="null3"/>
      </w:pPr>
      <w:r>
        <w:rPr>
          <w:rFonts w:ascii="仿宋_GB2312" w:hAnsi="仿宋_GB2312" w:cs="仿宋_GB2312" w:eastAsia="仿宋_GB2312"/>
        </w:rPr>
        <w:t xml:space="preserve"> </w:t>
      </w:r>
    </w:p>
    <w:p>
      <w:pPr>
        <w:pStyle w:val="null3"/>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合同签订后接到采购人通知10日内到岗，服务期3年。</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闽江北港公园</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按照合同规定的服务内容执行</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1、期次1，说明：按招标文件所附考核办法对中标人进行每月考核。</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费用按季度发放，中标人需在采购人通知后提供正式发票，如未及时提供正式发票，则采购人有权延迟支付费用，并不承担由此产生的任何费用，达到付款条件后，按季度考核标准，支付合同前11个季度，每季度金额8.33%，最后一季度8.37%,共计合同金额100%（以考核依据为主），达到付款条件起10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jc w:val="left"/>
            </w:pPr>
            <w:r>
              <w:rPr>
                <w:rFonts w:ascii="仿宋_GB2312" w:hAnsi="仿宋_GB2312" w:cs="仿宋_GB2312" w:eastAsia="仿宋_GB2312"/>
              </w:rPr>
              <w:t>说明：签订合同前采用银行保函（须为中标人基本开户行开具）方式向采购人缴纳履约保证金，项目履行完成后退还。</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rPr>
        <w:t>★8、关于合同签订的说明：保安服务期限为三年，合同三年一签。</w:t>
      </w:r>
      <w:r>
        <w:br/>
      </w:r>
      <w:r>
        <w:rPr>
          <w:rFonts w:ascii="仿宋_GB2312" w:hAnsi="仿宋_GB2312" w:cs="仿宋_GB2312" w:eastAsia="仿宋_GB2312"/>
          <w:sz w:val="24"/>
        </w:rPr>
        <w:t xml:space="preserve"> ★9、报价要求</w:t>
      </w:r>
      <w:r>
        <w:br/>
      </w:r>
      <w:r>
        <w:rPr>
          <w:rFonts w:ascii="仿宋_GB2312" w:hAnsi="仿宋_GB2312" w:cs="仿宋_GB2312" w:eastAsia="仿宋_GB2312"/>
          <w:sz w:val="24"/>
        </w:rPr>
        <w:t xml:space="preserve"> 9.1本项目采用总价合同，投标人的报价应包含完成本项目的所有费用，包括全体人员的基本工资、社会保险费（含养老、工伤、医疗、失业、生育）、紧急事件保障服务费、节假日值班补贴、餐补、管理税费、服装费、风险金、绩效考核、安全考核、住宿费用（采购人无法安排住宿的，需要投标人自行安排住宿）、培训费（含所有培训人员及教官人员的保险费、交通费、住宿费、餐饮费、人员工资等）、异地出差补贴（保安人员涉及外地出差，投标人按标准予以补助差旅费）等相关费用，以上费用如有遗漏，由投标人自行补充，投标人在报价时应充分考虑完成本项目的有费用，一旦中标，采购人将不再进行任何增补。</w:t>
      </w:r>
    </w:p>
    <w:p>
      <w:pPr>
        <w:pStyle w:val="null3"/>
      </w:pPr>
      <w:r>
        <w:rPr>
          <w:rFonts w:ascii="仿宋_GB2312" w:hAnsi="仿宋_GB2312" w:cs="仿宋_GB2312" w:eastAsia="仿宋_GB2312"/>
          <w:sz w:val="24"/>
        </w:rPr>
        <w:t>★10</w:t>
      </w:r>
      <w:r>
        <w:rPr>
          <w:rFonts w:ascii="仿宋_GB2312" w:hAnsi="仿宋_GB2312" w:cs="仿宋_GB2312" w:eastAsia="仿宋_GB2312"/>
          <w:sz w:val="24"/>
        </w:rPr>
        <w:t>付款说明本项目合同款按季支付。采购人于次月15日前对当月完成的服务进行考核，经采购人考核，当季产生扣款的，采购人可直接从当季的应付款中进行扣除，采购人在收到发票后，达到支付条件后以对公转账方式支付当季实际服务费；如中标人按合同保质保量完成服务工作、未产生扣款的，采购人在到达支付条件后，收到中标人开具的相应发票以对公转账方式将当季的实际服务费用汇入中标人指定账户。服务期结束后在规定的时间内付清全部合同款。</w:t>
      </w:r>
    </w:p>
    <w:p>
      <w:pPr>
        <w:pStyle w:val="null3"/>
      </w:pPr>
      <w:r>
        <w:rPr>
          <w:rFonts w:ascii="仿宋_GB2312" w:hAnsi="仿宋_GB2312" w:cs="仿宋_GB2312" w:eastAsia="仿宋_GB2312"/>
          <w:sz w:val="24"/>
        </w:rPr>
        <w:t>11、违约责任</w:t>
      </w:r>
      <w:r>
        <w:br/>
      </w:r>
      <w:r>
        <w:rPr>
          <w:rFonts w:ascii="仿宋_GB2312" w:hAnsi="仿宋_GB2312" w:cs="仿宋_GB2312" w:eastAsia="仿宋_GB2312"/>
          <w:sz w:val="24"/>
        </w:rPr>
        <w:t xml:space="preserve"> 11.1因中标人原因造成采购合同无法按时签订的，视为中标人违约，中标人须向采购人缴纳合同金额 2% 的违约金，对采购人造成损失的，中标人还需另行支付相应的赔偿。</w:t>
      </w:r>
      <w:r>
        <w:br/>
      </w:r>
      <w:r>
        <w:rPr>
          <w:rFonts w:ascii="仿宋_GB2312" w:hAnsi="仿宋_GB2312" w:cs="仿宋_GB2312" w:eastAsia="仿宋_GB2312"/>
          <w:sz w:val="24"/>
        </w:rPr>
        <w:t xml:space="preserve"> 11.2在签定采购合同之后，有下列情形之一的，将视为中标人违约，中标人须向采购人缴纳合同金额 10% 的违约金：</w:t>
      </w:r>
      <w:r>
        <w:br/>
      </w:r>
      <w:r>
        <w:rPr>
          <w:rFonts w:ascii="仿宋_GB2312" w:hAnsi="仿宋_GB2312" w:cs="仿宋_GB2312" w:eastAsia="仿宋_GB2312"/>
          <w:sz w:val="24"/>
        </w:rPr>
        <w:t xml:space="preserve"> 11.2.1签定合同后，除不可抗力外，中标人单方面要求解除合同的；</w:t>
      </w:r>
      <w:r>
        <w:br/>
      </w:r>
      <w:r>
        <w:rPr>
          <w:rFonts w:ascii="仿宋_GB2312" w:hAnsi="仿宋_GB2312" w:cs="仿宋_GB2312" w:eastAsia="仿宋_GB2312"/>
          <w:sz w:val="24"/>
        </w:rPr>
        <w:t xml:space="preserve"> 11.2.2签订合同后，除不可抗力外，中标人拒绝履行合同义务的。</w:t>
      </w:r>
      <w:r>
        <w:br/>
      </w:r>
      <w:r>
        <w:rPr>
          <w:rFonts w:ascii="仿宋_GB2312" w:hAnsi="仿宋_GB2312" w:cs="仿宋_GB2312" w:eastAsia="仿宋_GB2312"/>
          <w:sz w:val="24"/>
        </w:rPr>
        <w:t xml:space="preserve"> 11.3本项目所有采购标的，都必须由中标人自己承担，不得以任何名义和理由进行分包或转包。如有发现，视为中标人违约，应限期整改，并按合同金额的10%向采购人缴纳违约金；中标人未限期整改的，采购人有权单方终止合同并拒付合同款，对采购人造成损失的，需另行支付相应的赔偿。</w:t>
      </w:r>
      <w:r>
        <w:br/>
      </w:r>
      <w:r>
        <w:rPr>
          <w:rFonts w:ascii="仿宋_GB2312" w:hAnsi="仿宋_GB2312" w:cs="仿宋_GB2312" w:eastAsia="仿宋_GB2312"/>
          <w:sz w:val="24"/>
        </w:rPr>
        <w:t xml:space="preserve"> 11.4因中标人原因发生重大质量事故，除依约承担赔偿责任外，还将按有关质量管理办法规定执行。同时，采购人有权保留更换中标人的权利，并报相关行政主管部门处罚。</w:t>
      </w:r>
      <w:r>
        <w:br/>
      </w:r>
      <w:r>
        <w:rPr>
          <w:rFonts w:ascii="仿宋_GB2312" w:hAnsi="仿宋_GB2312" w:cs="仿宋_GB2312" w:eastAsia="仿宋_GB2312"/>
          <w:sz w:val="24"/>
        </w:rPr>
        <w:t xml:space="preserve"> 11.5在明确违约责任后，中标人应在接到书面通知书起七天内支付违约金、赔偿金等。</w:t>
      </w:r>
      <w:r>
        <w:br/>
      </w:r>
      <w:r>
        <w:rPr>
          <w:rFonts w:ascii="仿宋_GB2312" w:hAnsi="仿宋_GB2312" w:cs="仿宋_GB2312" w:eastAsia="仿宋_GB2312"/>
          <w:sz w:val="24"/>
        </w:rPr>
        <w:t xml:space="preserve"> 11.6本招标文件未明确的其它违约事项和责任，待采购人与中标人签订合同时，由双方协商订立，双方未约定的，按照《中华人民共和国民法典》的有关规定执行。</w:t>
      </w:r>
    </w:p>
    <w:p>
      <w:pPr>
        <w:pStyle w:val="null3"/>
      </w:pPr>
      <w:r>
        <w:rPr>
          <w:rFonts w:ascii="仿宋_GB2312" w:hAnsi="仿宋_GB2312" w:cs="仿宋_GB2312" w:eastAsia="仿宋_GB2312"/>
        </w:rPr>
        <w:t xml:space="preserve"> </w:t>
      </w:r>
    </w:p>
    <w:p>
      <w:pPr>
        <w:pStyle w:val="null3"/>
      </w:pPr>
      <w:r>
        <w:br/>
      </w:r>
      <w:r>
        <w:rPr>
          <w:rFonts w:ascii="仿宋_GB2312" w:hAnsi="仿宋_GB2312" w:cs="仿宋_GB2312" w:eastAsia="仿宋_GB2312"/>
        </w:rPr>
        <w:t xml:space="preserve">  </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[350103]JLZB[GK]2025001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闽江北港公园安保服务采购项目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闽江北港公园安保服务采购项目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闽江北港公园安保服务采购项目</w:t>
            </w:r>
          </w:p>
        </w:tc>
        <w:tc>
          <w:tcPr>
            <w:tcW w:type="dxa" w:w="1661"/>
          </w:tcPr>
          <w:p>
            <w:pPr>
              <w:pStyle w:val="null3"/>
              <w:jc w:val="left"/>
            </w:pPr>
            <w:r>
              <w:rPr>
                <w:rFonts w:ascii="仿宋_GB2312" w:hAnsi="仿宋_GB2312" w:cs="仿宋_GB2312" w:eastAsia="仿宋_GB2312"/>
              </w:rPr>
              <w:t xml:space="preserve"> 4633200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[350103]JLZB[GK]2025001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闽江北港公园安保服务采购项目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闽江北港公园安保服务采购项目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闽江北港公园安保服务采购项目</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闽江北港公园安保服务采购项目</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4633200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年</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