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附件一：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2020年第</w:t>
      </w:r>
      <w:r>
        <w:rPr>
          <w:rFonts w:hint="eastAsia"/>
          <w:b/>
          <w:bCs/>
          <w:sz w:val="36"/>
          <w:szCs w:val="36"/>
          <w:lang w:eastAsia="zh-CN"/>
        </w:rPr>
        <w:t>三</w:t>
      </w:r>
      <w:r>
        <w:rPr>
          <w:rFonts w:hint="eastAsia"/>
          <w:b/>
          <w:bCs/>
          <w:sz w:val="36"/>
          <w:szCs w:val="36"/>
        </w:rPr>
        <w:t>季度台江区政府网站信息统计表（部门）</w:t>
      </w:r>
    </w:p>
    <w:tbl>
      <w:tblPr>
        <w:tblStyle w:val="3"/>
        <w:tblW w:w="7274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5"/>
        <w:gridCol w:w="2300"/>
        <w:gridCol w:w="1167"/>
        <w:gridCol w:w="1183"/>
        <w:gridCol w:w="13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维护栏目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网站发布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发送邮箱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教育局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部门动态、教育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284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人社局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部门动态、就业创业、人事信息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179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生态环境局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部门动态、环境保护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122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卫健局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部门动态、基本医疗卫生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94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市监局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部门动态、食品药品安全、“双随机一公开”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37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46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广播电视事业发展中心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部门动态、视频新闻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76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房管局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部门动态、住房保障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65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审计局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部门动态、审计公告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54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应急管理局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部门动态、安全生产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26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司法局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34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商务局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部门动态、专题专栏“518海交会”、经济发展、投资台江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30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统计局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部门动态、统计信息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建设局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部门动态、城区建设、专题专栏“内河综合整治”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25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文明办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部门动态、专题专栏“讲文明树新风”公益广告、创建文明城市、志愿者服务、民俗文化活动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24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城管局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21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发改局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部门动态、重大建设项目、价格收费、规划计划、城区建设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21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民政局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20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残联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工业和信息化局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部门动态、经济发展、投资台江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台西科技园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部门动态、经济发展、投资投资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财政局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部门动态、财政预决算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文化体育和旅游局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部门动态、公共文化体育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机关事务管理中心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团区委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部门动态、专题专栏“志愿者服务”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国资营运中心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部门动态、国有企业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台江消防大队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部门动态、专题专栏“消防安全”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自然资源和规划局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行政服务中心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旅游事业发展中心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部门动态、台江旅游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退役军人事务局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部门动态、台江双拥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公安分局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园林中心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部门动态、园林风采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区委党史和地方志研究室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部门动态、走进台江、台江风采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</w:tr>
    </w:tbl>
    <w:p/>
    <w:p/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附件二：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2020年第</w:t>
      </w:r>
      <w:r>
        <w:rPr>
          <w:rFonts w:hint="eastAsia"/>
          <w:b/>
          <w:bCs/>
          <w:sz w:val="36"/>
          <w:szCs w:val="36"/>
          <w:lang w:eastAsia="zh-CN"/>
        </w:rPr>
        <w:t>三</w:t>
      </w:r>
      <w:r>
        <w:rPr>
          <w:rFonts w:hint="eastAsia"/>
          <w:b/>
          <w:bCs/>
          <w:sz w:val="36"/>
          <w:szCs w:val="36"/>
        </w:rPr>
        <w:t>季度台江区政府网站信息统计表（街道）</w:t>
      </w:r>
    </w:p>
    <w:p>
      <w:pPr>
        <w:rPr>
          <w:rFonts w:hint="eastAsia"/>
          <w:b/>
          <w:bCs/>
          <w:sz w:val="36"/>
          <w:szCs w:val="36"/>
        </w:rPr>
      </w:pPr>
    </w:p>
    <w:tbl>
      <w:tblPr>
        <w:tblStyle w:val="3"/>
        <w:tblW w:w="7291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9"/>
        <w:gridCol w:w="2163"/>
        <w:gridCol w:w="1150"/>
        <w:gridCol w:w="1200"/>
        <w:gridCol w:w="13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维护栏目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网站发布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发送邮箱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瀛洲街道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洋中街道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新港街道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茶亭街道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后洲街道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上海街道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苍霞街道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义洲街道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宁化街道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鳌峰街道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注：发送邮箱的信息以区大数据服务中心采用的数量为准</w:t>
      </w:r>
    </w:p>
    <w:p>
      <w:pPr>
        <w:tabs>
          <w:tab w:val="left" w:pos="312"/>
        </w:tabs>
        <w:textAlignment w:val="baseline"/>
        <w:rPr>
          <w:rFonts w:hint="eastAsia"/>
          <w:b/>
          <w:bCs/>
          <w:sz w:val="36"/>
          <w:szCs w:val="36"/>
        </w:rPr>
      </w:pPr>
    </w:p>
    <w:p>
      <w:pPr>
        <w:tabs>
          <w:tab w:val="left" w:pos="312"/>
        </w:tabs>
        <w:textAlignment w:val="baseline"/>
        <w:rPr>
          <w:rFonts w:hint="eastAsia"/>
          <w:b/>
          <w:bCs/>
          <w:sz w:val="36"/>
          <w:szCs w:val="36"/>
        </w:rPr>
      </w:pPr>
    </w:p>
    <w:p>
      <w:pPr>
        <w:tabs>
          <w:tab w:val="left" w:pos="312"/>
        </w:tabs>
        <w:textAlignment w:val="baseline"/>
        <w:rPr>
          <w:rFonts w:hint="eastAsia"/>
          <w:b/>
          <w:bCs/>
          <w:sz w:val="36"/>
          <w:szCs w:val="36"/>
        </w:rPr>
      </w:pPr>
    </w:p>
    <w:p>
      <w:pPr>
        <w:tabs>
          <w:tab w:val="left" w:pos="312"/>
        </w:tabs>
        <w:textAlignment w:val="baseline"/>
        <w:rPr>
          <w:rFonts w:hint="eastAsia"/>
          <w:b/>
          <w:bCs/>
          <w:sz w:val="36"/>
          <w:szCs w:val="36"/>
        </w:rPr>
      </w:pPr>
    </w:p>
    <w:p>
      <w:pPr>
        <w:tabs>
          <w:tab w:val="left" w:pos="312"/>
        </w:tabs>
        <w:textAlignment w:val="baseline"/>
        <w:rPr>
          <w:rFonts w:hint="eastAsia"/>
          <w:b/>
          <w:bCs/>
          <w:sz w:val="36"/>
          <w:szCs w:val="36"/>
        </w:rPr>
      </w:pPr>
    </w:p>
    <w:p>
      <w:pPr>
        <w:tabs>
          <w:tab w:val="left" w:pos="312"/>
        </w:tabs>
        <w:textAlignment w:val="baseline"/>
        <w:rPr>
          <w:rFonts w:hint="eastAsia"/>
          <w:b/>
          <w:bCs/>
          <w:sz w:val="36"/>
          <w:szCs w:val="36"/>
        </w:rPr>
      </w:pPr>
    </w:p>
    <w:p>
      <w:pPr>
        <w:tabs>
          <w:tab w:val="left" w:pos="312"/>
        </w:tabs>
        <w:textAlignment w:val="baseline"/>
        <w:rPr>
          <w:rFonts w:hint="eastAsia"/>
          <w:b/>
          <w:bCs/>
          <w:sz w:val="36"/>
          <w:szCs w:val="36"/>
        </w:rPr>
      </w:pPr>
    </w:p>
    <w:p>
      <w:pPr>
        <w:tabs>
          <w:tab w:val="left" w:pos="312"/>
        </w:tabs>
        <w:textAlignment w:val="baseline"/>
        <w:rPr>
          <w:rFonts w:hint="eastAsia"/>
          <w:b/>
          <w:bCs/>
          <w:sz w:val="36"/>
          <w:szCs w:val="36"/>
        </w:rPr>
      </w:pPr>
    </w:p>
    <w:p>
      <w:pPr>
        <w:tabs>
          <w:tab w:val="left" w:pos="312"/>
        </w:tabs>
        <w:textAlignment w:val="baseline"/>
        <w:rPr>
          <w:rFonts w:hint="eastAsia"/>
          <w:b/>
          <w:bCs/>
          <w:sz w:val="36"/>
          <w:szCs w:val="36"/>
        </w:rPr>
      </w:pPr>
    </w:p>
    <w:p>
      <w:pPr>
        <w:tabs>
          <w:tab w:val="left" w:pos="312"/>
        </w:tabs>
        <w:textAlignment w:val="baseline"/>
        <w:rPr>
          <w:rFonts w:hint="eastAsia"/>
          <w:b/>
          <w:bCs/>
          <w:sz w:val="36"/>
          <w:szCs w:val="36"/>
        </w:rPr>
      </w:pPr>
    </w:p>
    <w:p>
      <w:pPr>
        <w:tabs>
          <w:tab w:val="left" w:pos="312"/>
        </w:tabs>
        <w:textAlignment w:val="baseline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附件三：</w:t>
      </w:r>
    </w:p>
    <w:p>
      <w:pPr>
        <w:tabs>
          <w:tab w:val="left" w:pos="312"/>
        </w:tabs>
        <w:adjustRightInd w:val="0"/>
        <w:snapToGrid w:val="0"/>
        <w:spacing w:line="360" w:lineRule="auto"/>
        <w:jc w:val="center"/>
        <w:textAlignment w:val="baseline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2020年第三季度台江区政务新媒体考核情况</w:t>
      </w:r>
    </w:p>
    <w:p>
      <w:pPr>
        <w:tabs>
          <w:tab w:val="left" w:pos="312"/>
        </w:tabs>
        <w:adjustRightInd w:val="0"/>
        <w:snapToGrid w:val="0"/>
        <w:spacing w:line="360" w:lineRule="auto"/>
        <w:jc w:val="center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/>
          <w:b/>
          <w:bCs/>
          <w:sz w:val="24"/>
        </w:rPr>
        <w:t>（统计数据截止2020年9月30日）</w:t>
      </w:r>
    </w:p>
    <w:tbl>
      <w:tblPr>
        <w:tblStyle w:val="4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92"/>
        <w:gridCol w:w="1479"/>
        <w:gridCol w:w="1198"/>
        <w:gridCol w:w="1198"/>
        <w:gridCol w:w="1198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>开设主体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>新媒体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>名称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>类型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>是否2周内更新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>结果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>存在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福州市台江区政府办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台江发布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政务微博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福州市公安局台江分局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福州台江公安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政务微博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福州市台西科技园管委会（福州海西现代金融中心区管委会）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海西金融中心（服务号）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福州市公安局台江分局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福州台江公安（服务号）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福州市台江区生态环境局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台江环保（订阅号）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福州市台江区教育局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台江教育（订阅号）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福州市台江区司法局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法韵双杭（订阅号）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福州市台江区卫生与健康局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健康台江（订阅号）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福州市台江区消防救援大队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福州台江消防（订阅号）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福州市台江区建设局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台江区河长制办公室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福州市台江区苍霞街道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生态苍霞（服务号）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福州市台江区司法局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法韵双杭（抖音号）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政务抖音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福州市台江区宁化街道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宁化街道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未备案，超期未更新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福州市台江区宁化街道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平安宁化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未备案，超期未更新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福州市公安局台江分局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茶亭派出所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政务微信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不合格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未备案，超期未更新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01"/>
    <w:family w:val="script"/>
    <w:pitch w:val="default"/>
    <w:sig w:usb0="00000000" w:usb1="00000000" w:usb2="00000010" w:usb3="00000000" w:csb0="003C0041" w:csb1="00000000"/>
  </w:font>
  <w:font w:name="4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1584B"/>
    <w:rsid w:val="383158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2020-10-27T08:27:00Z</dcterms:created>
  <dc:creator>Lin</dc:creator>
  <cp:lastModifiedBy>Lin</cp:lastModifiedBy>
  <dcterms:modified xsi:type="dcterms:W3CDTF">2020-10-27T08:27:48Z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