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rPr>
      </w:pPr>
      <w:r>
        <w:rPr>
          <w:rFonts w:hint="eastAsia" w:ascii="黑体" w:hAnsi="黑体" w:eastAsia="黑体" w:cs="黑体"/>
          <w:sz w:val="44"/>
          <w:szCs w:val="44"/>
          <w:lang w:val="en-US" w:eastAsia="zh-CN"/>
        </w:rPr>
        <w:t>瀛洲街道关于</w:t>
      </w:r>
      <w:r>
        <w:rPr>
          <w:rFonts w:hint="eastAsia" w:ascii="黑体" w:hAnsi="黑体" w:eastAsia="黑体" w:cs="黑体"/>
          <w:sz w:val="44"/>
          <w:szCs w:val="44"/>
        </w:rPr>
        <w:t>生活垃圾分类工作经费项目</w:t>
      </w:r>
    </w:p>
    <w:p>
      <w:pPr>
        <w:jc w:val="center"/>
        <w:rPr>
          <w:rFonts w:hint="eastAsia" w:ascii="黑体" w:hAnsi="黑体" w:eastAsia="黑体" w:cs="黑体"/>
          <w:sz w:val="44"/>
          <w:szCs w:val="44"/>
        </w:rPr>
      </w:pPr>
      <w:r>
        <w:rPr>
          <w:rFonts w:hint="eastAsia" w:ascii="黑体" w:hAnsi="黑体" w:eastAsia="黑体" w:cs="黑体"/>
          <w:sz w:val="44"/>
          <w:szCs w:val="44"/>
        </w:rPr>
        <w:t>支出绩效评价报告</w:t>
      </w:r>
    </w:p>
    <w:p>
      <w:pPr>
        <w:jc w:val="center"/>
        <w:rPr>
          <w:rFonts w:hint="eastAsia" w:ascii="仿宋" w:hAnsi="仿宋" w:eastAsia="仿宋" w:cs="仿宋"/>
          <w:sz w:val="32"/>
          <w:szCs w:val="32"/>
        </w:rPr>
      </w:pP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 xml:space="preserve"> 一、基本情况</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（一）项目概况。</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建立健全垃圾分类制度，完善垃圾分类基础设施，保障生活垃圾分类工作正常运行。</w:t>
      </w:r>
      <w:r>
        <w:rPr>
          <w:rFonts w:hint="eastAsia" w:ascii="仿宋" w:hAnsi="仿宋" w:eastAsia="仿宋" w:cs="仿宋"/>
          <w:sz w:val="32"/>
          <w:szCs w:val="32"/>
        </w:rPr>
        <w:tab/>
      </w:r>
    </w:p>
    <w:p>
      <w:pPr>
        <w:numPr>
          <w:ilvl w:val="0"/>
          <w:numId w:val="1"/>
        </w:numPr>
        <w:ind w:firstLine="640"/>
        <w:jc w:val="left"/>
        <w:rPr>
          <w:rFonts w:hint="eastAsia" w:ascii="仿宋" w:hAnsi="仿宋" w:eastAsia="仿宋" w:cs="仿宋"/>
          <w:sz w:val="32"/>
          <w:szCs w:val="32"/>
        </w:rPr>
      </w:pPr>
      <w:r>
        <w:rPr>
          <w:rFonts w:hint="eastAsia" w:ascii="仿宋" w:hAnsi="仿宋" w:eastAsia="仿宋" w:cs="仿宋"/>
          <w:sz w:val="32"/>
          <w:szCs w:val="32"/>
        </w:rPr>
        <w:t>项目绩效目标。</w:t>
      </w:r>
    </w:p>
    <w:p>
      <w:pPr>
        <w:numPr>
          <w:ilvl w:val="0"/>
          <w:numId w:val="0"/>
        </w:num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生活垃圾分类管理通过强力督查，压实责任，确保工作落实到位，全区上下齐抓共管、共同推动工作的良好局面。</w:t>
      </w:r>
    </w:p>
    <w:p>
      <w:pPr>
        <w:ind w:firstLine="640"/>
        <w:jc w:val="left"/>
        <w:rPr>
          <w:rFonts w:hint="eastAsia" w:ascii="仿宋" w:hAnsi="仿宋" w:eastAsia="仿宋" w:cs="仿宋"/>
          <w:b/>
          <w:bCs/>
          <w:sz w:val="32"/>
          <w:szCs w:val="32"/>
        </w:rPr>
      </w:pPr>
      <w:r>
        <w:rPr>
          <w:rFonts w:hint="eastAsia" w:ascii="仿宋" w:hAnsi="仿宋" w:eastAsia="仿宋" w:cs="仿宋"/>
          <w:b/>
          <w:bCs/>
          <w:sz w:val="32"/>
          <w:szCs w:val="32"/>
        </w:rPr>
        <w:t>二、绩效评价工作开展情况</w:t>
      </w:r>
    </w:p>
    <w:p>
      <w:pPr>
        <w:ind w:firstLine="640"/>
        <w:jc w:val="left"/>
        <w:rPr>
          <w:rFonts w:hint="eastAsia" w:ascii="仿宋" w:hAnsi="仿宋" w:eastAsia="仿宋" w:cs="仿宋"/>
          <w:sz w:val="32"/>
          <w:szCs w:val="32"/>
        </w:rPr>
      </w:pPr>
      <w:r>
        <w:rPr>
          <w:rFonts w:hint="eastAsia" w:ascii="仿宋" w:hAnsi="仿宋" w:eastAsia="仿宋" w:cs="仿宋"/>
          <w:sz w:val="32"/>
          <w:szCs w:val="32"/>
        </w:rPr>
        <w:t>（一）绩效评价的目的、对象和范围。</w:t>
      </w:r>
    </w:p>
    <w:p>
      <w:pPr>
        <w:ind w:firstLine="640"/>
        <w:jc w:val="left"/>
        <w:rPr>
          <w:rFonts w:hint="eastAsia" w:ascii="仿宋" w:hAnsi="仿宋" w:eastAsia="仿宋" w:cs="仿宋"/>
          <w:sz w:val="32"/>
          <w:szCs w:val="32"/>
        </w:rPr>
      </w:pPr>
      <w:r>
        <w:rPr>
          <w:rFonts w:hint="eastAsia" w:ascii="仿宋_GB2312" w:hAnsi="仿宋_GB2312" w:eastAsia="仿宋_GB2312" w:cs="仿宋_GB2312"/>
          <w:sz w:val="32"/>
          <w:szCs w:val="32"/>
        </w:rPr>
        <w:t>通过绩效评价旨在督促相关单位进一步规范完善项目资金的使用和管理，并考核项目在一定期限内达到的产出与效益，为今后提高专项资金使用的财政绩效提供借鉴。</w:t>
      </w:r>
    </w:p>
    <w:p>
      <w:pPr>
        <w:ind w:firstLine="640"/>
        <w:jc w:val="left"/>
        <w:rPr>
          <w:rFonts w:hint="eastAsia" w:ascii="仿宋" w:hAnsi="仿宋" w:eastAsia="仿宋" w:cs="仿宋"/>
          <w:sz w:val="32"/>
          <w:szCs w:val="32"/>
        </w:rPr>
      </w:pPr>
      <w:r>
        <w:rPr>
          <w:rFonts w:hint="eastAsia" w:ascii="仿宋" w:hAnsi="仿宋" w:eastAsia="仿宋" w:cs="仿宋"/>
          <w:sz w:val="32"/>
          <w:szCs w:val="32"/>
        </w:rPr>
        <w:t>（二）绩效评价原则、评价指标体系（附表说明）、评价方法、评价标准等。</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_GB2312" w:hAnsi="仿宋_GB2312" w:eastAsia="仿宋_GB2312" w:cs="仿宋_GB2312"/>
          <w:sz w:val="32"/>
          <w:szCs w:val="32"/>
        </w:rPr>
        <w:t>评价原则:以项目绩效产出及效益为侧重，运用科学合理的方法，按规范程序对项目绩效进行客观、公正反映并与项目预算安排、政策调整、改进管理实质性相挂钩，根据评价结果进行奖优罚劣，评价结果依法依规公开，接受社会监督。</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评价</w:t>
      </w:r>
      <w:r>
        <w:rPr>
          <w:rFonts w:hint="eastAsia" w:ascii="仿宋_GB2312" w:hAnsi="仿宋_GB2312" w:eastAsia="仿宋_GB2312" w:cs="仿宋_GB2312"/>
          <w:sz w:val="32"/>
          <w:szCs w:val="32"/>
          <w:lang w:val="en-US" w:eastAsia="zh-CN"/>
        </w:rPr>
        <w:t>主要</w:t>
      </w:r>
      <w:r>
        <w:rPr>
          <w:rFonts w:hint="eastAsia" w:ascii="仿宋_GB2312" w:hAnsi="仿宋_GB2312" w:eastAsia="仿宋_GB2312" w:cs="仿宋_GB2312"/>
          <w:sz w:val="32"/>
          <w:szCs w:val="32"/>
        </w:rPr>
        <w:t>指标体系</w:t>
      </w:r>
    </w:p>
    <w:tbl>
      <w:tblPr>
        <w:tblStyle w:val="4"/>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8"/>
        <w:gridCol w:w="1013"/>
        <w:gridCol w:w="5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8" w:type="dxa"/>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指标类型</w:t>
            </w:r>
          </w:p>
        </w:tc>
        <w:tc>
          <w:tcPr>
            <w:tcW w:w="1013" w:type="dxa"/>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分值</w:t>
            </w:r>
          </w:p>
        </w:tc>
        <w:tc>
          <w:tcPr>
            <w:tcW w:w="5449" w:type="dxa"/>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0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项目决策</w:t>
            </w:r>
          </w:p>
        </w:tc>
        <w:tc>
          <w:tcPr>
            <w:tcW w:w="10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10%</w:t>
            </w:r>
          </w:p>
        </w:tc>
        <w:tc>
          <w:tcPr>
            <w:tcW w:w="5449" w:type="dxa"/>
            <w:vAlign w:val="top"/>
          </w:tcPr>
          <w:p>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主要对项目立项、绩效目标、资金投入等方面进行评价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0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项目管理</w:t>
            </w:r>
          </w:p>
        </w:tc>
        <w:tc>
          <w:tcPr>
            <w:tcW w:w="10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20%</w:t>
            </w:r>
          </w:p>
        </w:tc>
        <w:tc>
          <w:tcPr>
            <w:tcW w:w="5449" w:type="dxa"/>
            <w:vAlign w:val="top"/>
          </w:tcPr>
          <w:p>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主要对项目资金管理、组织实施等方面进行评价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0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项目产出</w:t>
            </w:r>
          </w:p>
        </w:tc>
        <w:tc>
          <w:tcPr>
            <w:tcW w:w="10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30%</w:t>
            </w:r>
          </w:p>
        </w:tc>
        <w:tc>
          <w:tcPr>
            <w:tcW w:w="5449" w:type="dxa"/>
            <w:vAlign w:val="top"/>
          </w:tcPr>
          <w:p>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主要对项目产出数量、质量、时效等方面进行评价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0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项目效益</w:t>
            </w:r>
          </w:p>
        </w:tc>
        <w:tc>
          <w:tcPr>
            <w:tcW w:w="10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30%</w:t>
            </w:r>
          </w:p>
        </w:tc>
        <w:tc>
          <w:tcPr>
            <w:tcW w:w="5449" w:type="dxa"/>
            <w:vAlign w:val="top"/>
          </w:tcPr>
          <w:p>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主要对项目生态效益方面进行评价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0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项目满意度</w:t>
            </w:r>
          </w:p>
        </w:tc>
        <w:tc>
          <w:tcPr>
            <w:tcW w:w="10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10%</w:t>
            </w:r>
          </w:p>
        </w:tc>
        <w:tc>
          <w:tcPr>
            <w:tcW w:w="5449" w:type="dxa"/>
            <w:vAlign w:val="top"/>
          </w:tcPr>
          <w:p>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服务对象满意度等方面进行评价</w:t>
            </w:r>
          </w:p>
        </w:tc>
      </w:tr>
    </w:tbl>
    <w:p>
      <w:pPr>
        <w:ind w:firstLine="640" w:firstLineChars="200"/>
        <w:jc w:val="left"/>
        <w:rPr>
          <w:rFonts w:hint="eastAsia" w:ascii="仿宋" w:hAnsi="仿宋" w:eastAsia="仿宋" w:cs="仿宋"/>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评价方法:采用按比例计算得分方式及定量与定性评价相结合的比较法</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评价标准:采用的标准形式为计划标准和历史标准。</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（三）绩效评价工作过程。</w:t>
      </w:r>
    </w:p>
    <w:p>
      <w:pPr>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本次评价大致分为评价准备工作、审核分析材料、综合分析评价三个阶段。各阶段工作简述如下：</w:t>
      </w:r>
    </w:p>
    <w:p>
      <w:pPr>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（1）评价准备工作</w:t>
      </w:r>
    </w:p>
    <w:p>
      <w:pPr>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瀛洲</w:t>
      </w:r>
      <w:r>
        <w:rPr>
          <w:rFonts w:hint="eastAsia" w:ascii="仿宋" w:hAnsi="仿宋" w:eastAsia="仿宋" w:cs="仿宋"/>
          <w:color w:val="000000" w:themeColor="text1"/>
          <w:sz w:val="32"/>
          <w:szCs w:val="32"/>
          <w14:textFill>
            <w14:solidFill>
              <w14:schemeClr w14:val="tx1"/>
            </w14:solidFill>
          </w14:textFill>
        </w:rPr>
        <w:t>街道办事处为此次评价工作组织者，制定工作方案和工作计划，组织项目实施单位布置相关评价工作。</w:t>
      </w:r>
    </w:p>
    <w:p>
      <w:pPr>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（2）审核分析材料</w:t>
      </w:r>
    </w:p>
    <w:p>
      <w:pPr>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对项目实施单位自评报告及相关材料进行了审核，并对项目实施情况进行了核实。</w:t>
      </w:r>
    </w:p>
    <w:p>
      <w:pPr>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（3）综合分析评价</w:t>
      </w:r>
    </w:p>
    <w:p>
      <w:pPr>
        <w:ind w:firstLine="640" w:firstLineChars="200"/>
        <w:jc w:val="left"/>
        <w:rPr>
          <w:rFonts w:hint="eastAsia" w:ascii="仿宋" w:hAnsi="仿宋" w:eastAsia="仿宋" w:cs="仿宋"/>
          <w:b/>
          <w:bCs/>
          <w:sz w:val="32"/>
          <w:szCs w:val="32"/>
        </w:rPr>
      </w:pPr>
      <w:r>
        <w:rPr>
          <w:rFonts w:hint="eastAsia" w:ascii="仿宋" w:hAnsi="仿宋" w:eastAsia="仿宋" w:cs="仿宋"/>
          <w:color w:val="000000" w:themeColor="text1"/>
          <w:sz w:val="32"/>
          <w:szCs w:val="32"/>
          <w14:textFill>
            <w14:solidFill>
              <w14:schemeClr w14:val="tx1"/>
            </w14:solidFill>
          </w14:textFill>
        </w:rPr>
        <w:t>对有关材料进行分析整理，按照绩效评价要求，认真开展了绩效评价，形成了绩效评价。</w:t>
      </w:r>
    </w:p>
    <w:p>
      <w:pPr>
        <w:ind w:firstLine="640"/>
        <w:jc w:val="left"/>
        <w:rPr>
          <w:rFonts w:hint="eastAsia" w:ascii="仿宋" w:hAnsi="仿宋" w:eastAsia="仿宋" w:cs="仿宋"/>
          <w:sz w:val="32"/>
          <w:szCs w:val="32"/>
        </w:rPr>
      </w:pPr>
      <w:r>
        <w:rPr>
          <w:rFonts w:hint="eastAsia" w:ascii="仿宋" w:hAnsi="仿宋" w:eastAsia="仿宋" w:cs="仿宋"/>
          <w:b/>
          <w:bCs/>
          <w:sz w:val="32"/>
          <w:szCs w:val="32"/>
        </w:rPr>
        <w:t>三、综合评价情况及评价结论</w:t>
      </w:r>
      <w:r>
        <w:rPr>
          <w:rFonts w:hint="eastAsia" w:ascii="仿宋" w:hAnsi="仿宋" w:eastAsia="仿宋" w:cs="仿宋"/>
          <w:sz w:val="32"/>
          <w:szCs w:val="32"/>
        </w:rPr>
        <w:t>（附相关评分表）</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绩效评价，通过与业务部门及项目单位进行座谈，收集项目相关政策文件和制度等资料，并审查核实项目申报、资金拨付、使用及管理情况，相关制度建设执行情况，绩效目标实现程度等，拟定了专项资金绩效评价指标体系。在评价工作开展过程中，对项目单位进行收集考核，对项目资金到位情况、资金使用情况等相关数据进行了复核。</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 w:hAnsi="仿宋" w:eastAsia="仿宋" w:cs="仿宋"/>
          <w:b/>
          <w:bCs/>
          <w:sz w:val="32"/>
          <w:szCs w:val="32"/>
        </w:rPr>
      </w:pPr>
      <w:r>
        <w:rPr>
          <w:rFonts w:hint="eastAsia" w:ascii="仿宋_GB2312" w:hAnsi="仿宋_GB2312" w:eastAsia="仿宋_GB2312" w:cs="仿宋_GB2312"/>
          <w:sz w:val="32"/>
          <w:szCs w:val="32"/>
        </w:rPr>
        <w:t>本次绩效评价，采用按比例计算得分方式及定量与定性评价相结合的比较法，对绩效评价指标逐项评价，在项目资金使用、业务管理、财务管理、项目产出、项目效益、项目满意度等方面进行综合评价。</w:t>
      </w:r>
    </w:p>
    <w:p>
      <w:pPr>
        <w:ind w:firstLine="640"/>
        <w:jc w:val="left"/>
        <w:rPr>
          <w:rFonts w:hint="eastAsia" w:ascii="仿宋" w:hAnsi="仿宋" w:eastAsia="仿宋" w:cs="仿宋"/>
          <w:b/>
          <w:bCs/>
          <w:sz w:val="32"/>
          <w:szCs w:val="32"/>
        </w:rPr>
      </w:pPr>
      <w:r>
        <w:rPr>
          <w:rFonts w:hint="eastAsia" w:ascii="仿宋" w:hAnsi="仿宋" w:eastAsia="仿宋" w:cs="仿宋"/>
          <w:b/>
          <w:bCs/>
          <w:sz w:val="32"/>
          <w:szCs w:val="32"/>
        </w:rPr>
        <w:t>四、绩效评价指标分析</w:t>
      </w:r>
    </w:p>
    <w:p>
      <w:pPr>
        <w:ind w:firstLine="640"/>
        <w:jc w:val="left"/>
        <w:rPr>
          <w:rFonts w:hint="eastAsia" w:ascii="仿宋" w:hAnsi="仿宋" w:eastAsia="仿宋" w:cs="仿宋"/>
          <w:sz w:val="32"/>
          <w:szCs w:val="32"/>
        </w:rPr>
      </w:pPr>
      <w:r>
        <w:rPr>
          <w:rFonts w:hint="eastAsia" w:ascii="仿宋" w:hAnsi="仿宋" w:eastAsia="仿宋" w:cs="仿宋"/>
          <w:sz w:val="32"/>
          <w:szCs w:val="32"/>
        </w:rPr>
        <w:t>（一）项目决策情况。</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sz w:val="32"/>
          <w:szCs w:val="32"/>
        </w:rPr>
        <w:t>项目立项符合国家法律法规、国民经济发展规划和相关政策；项目立项符合行业发展规划和政策要求；项目立项与部门职责范围相符，属于部门履职所需；项目属于公共财政支持范围，符合中央、地方事权支出责任划分原则,项目没有与相关部门同类项目或部门内部相关项目重复。</w:t>
      </w:r>
    </w:p>
    <w:p>
      <w:pPr>
        <w:ind w:firstLine="640"/>
        <w:jc w:val="left"/>
        <w:rPr>
          <w:rFonts w:hint="eastAsia" w:ascii="仿宋" w:hAnsi="仿宋" w:eastAsia="仿宋" w:cs="仿宋"/>
          <w:sz w:val="32"/>
          <w:szCs w:val="32"/>
        </w:rPr>
      </w:pPr>
      <w:r>
        <w:rPr>
          <w:rFonts w:hint="eastAsia" w:ascii="仿宋" w:hAnsi="仿宋" w:eastAsia="仿宋" w:cs="仿宋"/>
          <w:sz w:val="32"/>
          <w:szCs w:val="32"/>
        </w:rPr>
        <w:t>（二）项目过程情况。</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sz w:val="32"/>
          <w:szCs w:val="32"/>
        </w:rPr>
        <w:t>符合国家财经法规和财务管理制度以及有关专项资金管理办法的规定；资金的拨付有完整的审批程序和手续；符合项目预算批复的用途；不存在截留、挤占、挪用、虚列支出等情况。遵守相关法律法规和相关管理规定；项目实施的人员条件、</w:t>
      </w:r>
      <w:r>
        <w:rPr>
          <w:rFonts w:hint="eastAsia" w:ascii="仿宋_GB2312" w:hAnsi="仿宋_GB2312" w:eastAsia="仿宋_GB2312" w:cs="仿宋_GB2312"/>
          <w:sz w:val="32"/>
          <w:szCs w:val="32"/>
          <w:lang w:val="en-US" w:eastAsia="zh-CN"/>
        </w:rPr>
        <w:t>设施设备、</w:t>
      </w:r>
      <w:r>
        <w:rPr>
          <w:rFonts w:hint="eastAsia" w:ascii="仿宋_GB2312" w:hAnsi="仿宋_GB2312" w:eastAsia="仿宋_GB2312" w:cs="仿宋_GB2312"/>
          <w:sz w:val="32"/>
          <w:szCs w:val="32"/>
        </w:rPr>
        <w:t>信息支撑等落实到位。己制定或具有相应的财务和业务管理制度；财务和业务管理制度合法、合规、完整。</w:t>
      </w:r>
    </w:p>
    <w:p>
      <w:pPr>
        <w:ind w:firstLine="640"/>
        <w:jc w:val="left"/>
        <w:rPr>
          <w:rFonts w:hint="eastAsia" w:ascii="仿宋" w:hAnsi="仿宋" w:eastAsia="仿宋" w:cs="仿宋"/>
          <w:sz w:val="32"/>
          <w:szCs w:val="32"/>
        </w:rPr>
      </w:pPr>
      <w:r>
        <w:rPr>
          <w:rFonts w:hint="eastAsia" w:ascii="仿宋" w:hAnsi="仿宋" w:eastAsia="仿宋" w:cs="仿宋"/>
          <w:sz w:val="32"/>
          <w:szCs w:val="32"/>
        </w:rPr>
        <w:t>（三）项目产出情况。</w:t>
      </w:r>
    </w:p>
    <w:p>
      <w:pPr>
        <w:ind w:firstLine="640"/>
        <w:jc w:val="left"/>
        <w:rPr>
          <w:rFonts w:hint="eastAsia" w:ascii="仿宋" w:hAnsi="仿宋" w:eastAsia="仿宋" w:cs="仿宋"/>
          <w:sz w:val="32"/>
          <w:szCs w:val="32"/>
          <w:lang w:val="en-US" w:eastAsia="zh-CN"/>
        </w:rPr>
      </w:pPr>
      <w:r>
        <w:rPr>
          <w:rFonts w:hint="eastAsia" w:ascii="仿宋" w:hAnsi="仿宋" w:eastAsia="仿宋" w:cs="仿宋"/>
          <w:sz w:val="32"/>
          <w:szCs w:val="32"/>
        </w:rPr>
        <w:t>按照当年预算安排或工作实际情况</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召开</w:t>
      </w:r>
      <w:r>
        <w:rPr>
          <w:rFonts w:hint="eastAsia" w:ascii="仿宋" w:hAnsi="仿宋" w:eastAsia="仿宋" w:cs="仿宋"/>
          <w:sz w:val="32"/>
          <w:szCs w:val="32"/>
        </w:rPr>
        <w:t>项目有关会议次数</w:t>
      </w:r>
      <w:r>
        <w:rPr>
          <w:rFonts w:hint="eastAsia" w:ascii="仿宋" w:hAnsi="仿宋" w:eastAsia="仿宋" w:cs="仿宋"/>
          <w:sz w:val="32"/>
          <w:szCs w:val="32"/>
          <w:lang w:eastAsia="zh-CN"/>
        </w:rPr>
        <w:t>，按照文件要求</w:t>
      </w:r>
      <w:r>
        <w:rPr>
          <w:rFonts w:hint="eastAsia" w:ascii="仿宋" w:hAnsi="仿宋" w:eastAsia="仿宋" w:cs="仿宋"/>
          <w:sz w:val="32"/>
          <w:szCs w:val="32"/>
          <w:lang w:val="en-US" w:eastAsia="zh-CN"/>
        </w:rPr>
        <w:t>并根据福州市环卫精细化管理检查考核标准，通过环卫考评月平均得分，按照当年预算安排或工作实际情况及时拨付经费。</w:t>
      </w:r>
    </w:p>
    <w:p>
      <w:pPr>
        <w:ind w:firstLine="640"/>
        <w:jc w:val="left"/>
        <w:rPr>
          <w:rFonts w:hint="eastAsia" w:ascii="仿宋" w:hAnsi="仿宋" w:eastAsia="仿宋" w:cs="仿宋"/>
          <w:sz w:val="32"/>
          <w:szCs w:val="32"/>
        </w:rPr>
      </w:pPr>
      <w:r>
        <w:rPr>
          <w:rFonts w:hint="eastAsia" w:ascii="仿宋" w:hAnsi="仿宋" w:eastAsia="仿宋" w:cs="仿宋"/>
          <w:sz w:val="32"/>
          <w:szCs w:val="32"/>
        </w:rPr>
        <w:t>（四）项目效益情况。</w:t>
      </w:r>
    </w:p>
    <w:p>
      <w:pPr>
        <w:ind w:firstLine="640"/>
        <w:jc w:val="left"/>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rPr>
        <w:t>按照当年预算安排或工作实际情况</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通过</w:t>
      </w:r>
      <w:bookmarkStart w:id="0" w:name="_GoBack"/>
      <w:bookmarkEnd w:id="0"/>
      <w:r>
        <w:rPr>
          <w:rFonts w:hint="eastAsia" w:ascii="仿宋" w:hAnsi="仿宋" w:eastAsia="仿宋" w:cs="仿宋"/>
          <w:b w:val="0"/>
          <w:bCs w:val="0"/>
          <w:sz w:val="32"/>
          <w:szCs w:val="32"/>
          <w:lang w:eastAsia="zh-CN"/>
        </w:rPr>
        <w:t>项目实施过程中吸引就业人员。</w:t>
      </w:r>
    </w:p>
    <w:p>
      <w:pPr>
        <w:ind w:firstLine="640"/>
        <w:jc w:val="left"/>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垃圾分类管理督查，压实责任，有效落实工作，实现全区上下齐抓共管、共同推动工作的良好局面。</w:t>
      </w:r>
    </w:p>
    <w:p>
      <w:pPr>
        <w:ind w:firstLine="640"/>
        <w:jc w:val="left"/>
        <w:rPr>
          <w:rFonts w:hint="eastAsia" w:ascii="仿宋" w:hAnsi="仿宋" w:eastAsia="仿宋" w:cs="仿宋"/>
          <w:b/>
          <w:bCs/>
          <w:sz w:val="32"/>
          <w:szCs w:val="32"/>
        </w:rPr>
      </w:pPr>
      <w:r>
        <w:rPr>
          <w:rFonts w:hint="eastAsia" w:ascii="仿宋" w:hAnsi="仿宋" w:eastAsia="仿宋" w:cs="仿宋"/>
          <w:b/>
          <w:bCs/>
          <w:sz w:val="32"/>
          <w:szCs w:val="32"/>
        </w:rPr>
        <w:t>六、有关建议</w:t>
      </w:r>
    </w:p>
    <w:p>
      <w:pPr>
        <w:ind w:firstLine="64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无</w:t>
      </w:r>
    </w:p>
    <w:p>
      <w:pPr>
        <w:numPr>
          <w:ilvl w:val="0"/>
          <w:numId w:val="3"/>
        </w:numPr>
        <w:ind w:firstLine="640"/>
        <w:jc w:val="left"/>
        <w:rPr>
          <w:rFonts w:hint="eastAsia" w:ascii="仿宋" w:hAnsi="仿宋" w:eastAsia="仿宋" w:cs="仿宋"/>
          <w:b/>
          <w:bCs/>
          <w:sz w:val="32"/>
          <w:szCs w:val="32"/>
        </w:rPr>
      </w:pPr>
      <w:r>
        <w:rPr>
          <w:rFonts w:hint="eastAsia" w:ascii="仿宋" w:hAnsi="仿宋" w:eastAsia="仿宋" w:cs="仿宋"/>
          <w:b/>
          <w:bCs/>
          <w:sz w:val="32"/>
          <w:szCs w:val="32"/>
        </w:rPr>
        <w:t>其他需要说明的问题</w:t>
      </w:r>
    </w:p>
    <w:p>
      <w:pPr>
        <w:numPr>
          <w:ilvl w:val="0"/>
          <w:numId w:val="0"/>
        </w:numPr>
        <w:tabs>
          <w:tab w:val="left" w:pos="1116"/>
        </w:tabs>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eastAsia="zh-CN"/>
        </w:rPr>
        <w:tab/>
      </w:r>
      <w:r>
        <w:rPr>
          <w:rFonts w:hint="eastAsia" w:ascii="仿宋" w:hAnsi="仿宋" w:eastAsia="仿宋" w:cs="仿宋"/>
          <w:b/>
          <w:bCs/>
          <w:sz w:val="32"/>
          <w:szCs w:val="32"/>
          <w:lang w:val="en-US" w:eastAsia="zh-CN"/>
        </w:rPr>
        <w:t>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C6CF4C"/>
    <w:multiLevelType w:val="singleLevel"/>
    <w:tmpl w:val="88C6CF4C"/>
    <w:lvl w:ilvl="0" w:tentative="0">
      <w:start w:val="1"/>
      <w:numFmt w:val="decimal"/>
      <w:suff w:val="nothing"/>
      <w:lvlText w:val="（%1）"/>
      <w:lvlJc w:val="left"/>
    </w:lvl>
  </w:abstractNum>
  <w:abstractNum w:abstractNumId="1">
    <w:nsid w:val="17DB0AAD"/>
    <w:multiLevelType w:val="singleLevel"/>
    <w:tmpl w:val="17DB0AAD"/>
    <w:lvl w:ilvl="0" w:tentative="0">
      <w:start w:val="2"/>
      <w:numFmt w:val="chineseCounting"/>
      <w:suff w:val="nothing"/>
      <w:lvlText w:val="（%1）"/>
      <w:lvlJc w:val="left"/>
      <w:rPr>
        <w:rFonts w:hint="eastAsia"/>
      </w:rPr>
    </w:lvl>
  </w:abstractNum>
  <w:abstractNum w:abstractNumId="2">
    <w:nsid w:val="186A2B7D"/>
    <w:multiLevelType w:val="singleLevel"/>
    <w:tmpl w:val="186A2B7D"/>
    <w:lvl w:ilvl="0" w:tentative="0">
      <w:start w:val="7"/>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A6D"/>
    <w:rsid w:val="001771AD"/>
    <w:rsid w:val="006C4A6D"/>
    <w:rsid w:val="2D751D1F"/>
    <w:rsid w:val="2DDC5134"/>
    <w:rsid w:val="3AF31F4D"/>
    <w:rsid w:val="4A017F5E"/>
    <w:rsid w:val="6FFF6348"/>
    <w:rsid w:val="73206C13"/>
    <w:rsid w:val="74757094"/>
    <w:rsid w:val="7E6A4BC8"/>
    <w:rsid w:val="7FEB1A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Microsoft</Company>
  <Pages>1</Pages>
  <Words>267</Words>
  <Characters>267</Characters>
  <Lines>2</Lines>
  <Paragraphs>1</Paragraphs>
  <TotalTime>815</TotalTime>
  <ScaleCrop>false</ScaleCrop>
  <LinksUpToDate>false</LinksUpToDate>
  <CharactersWithSpaces>268</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2020-07-15T01:47:00Z</dcterms:created>
  <dc:creator>lenovo</dc:creator>
  <cp:lastModifiedBy>Lenovo</cp:lastModifiedBy>
  <cp:lastPrinted>2021-04-12T01:18:00Z</cp:lastPrinted>
  <dcterms:modified xsi:type="dcterms:W3CDTF">2024-07-24T02:55:38Z</dcterms:modified>
  <dc:title>附件2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F736C79DC9244A9581304743B9746B36_13</vt:lpwstr>
  </property>
</Properties>
</file>