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b/>
          <w:bCs/>
          <w:sz w:val="44"/>
          <w:szCs w:val="44"/>
          <w:lang w:val="en-US" w:eastAsia="zh-CN"/>
        </w:rPr>
      </w:pPr>
    </w:p>
    <w:p>
      <w:pPr>
        <w:jc w:val="center"/>
        <w:rPr>
          <w:rFonts w:hint="eastAsia" w:ascii="仿宋_GB2312" w:hAnsi="仿宋_GB2312" w:eastAsia="仿宋_GB2312" w:cs="仿宋_GB2312"/>
          <w:b/>
          <w:bCs/>
          <w:sz w:val="44"/>
          <w:szCs w:val="44"/>
          <w:lang w:val="en-US" w:eastAsia="zh-CN"/>
        </w:rPr>
      </w:pPr>
    </w:p>
    <w:p>
      <w:pPr>
        <w:jc w:val="center"/>
        <w:rPr>
          <w:rFonts w:hint="eastAsia" w:ascii="仿宋_GB2312" w:hAnsi="仿宋_GB2312" w:eastAsia="仿宋_GB2312" w:cs="仿宋_GB2312"/>
          <w:b/>
          <w:bCs/>
          <w:sz w:val="44"/>
          <w:szCs w:val="44"/>
          <w:lang w:val="en-US" w:eastAsia="zh-CN"/>
        </w:rPr>
      </w:pPr>
    </w:p>
    <w:p>
      <w:pPr>
        <w:jc w:val="center"/>
        <w:rPr>
          <w:rFonts w:hint="eastAsia" w:ascii="仿宋_GB2312" w:hAnsi="仿宋_GB2312" w:eastAsia="仿宋_GB2312" w:cs="仿宋_GB2312"/>
          <w:b/>
          <w:bCs/>
          <w:sz w:val="44"/>
          <w:szCs w:val="44"/>
          <w:lang w:val="en-US" w:eastAsia="zh-CN"/>
        </w:rPr>
      </w:pPr>
    </w:p>
    <w:p>
      <w:pPr>
        <w:jc w:val="center"/>
        <w:rPr>
          <w:rFonts w:hint="eastAsia" w:ascii="仿宋_GB2312" w:hAnsi="仿宋_GB2312" w:eastAsia="仿宋_GB2312" w:cs="仿宋_GB2312"/>
          <w:b/>
          <w:bCs/>
          <w:sz w:val="44"/>
          <w:szCs w:val="44"/>
          <w:lang w:val="en-US" w:eastAsia="zh-CN"/>
        </w:rPr>
      </w:pPr>
    </w:p>
    <w:p>
      <w:pPr>
        <w:jc w:val="center"/>
        <w:rPr>
          <w:rFonts w:hint="eastAsia" w:ascii="仿宋_GB2312" w:hAnsi="仿宋_GB2312" w:eastAsia="仿宋_GB2312" w:cs="仿宋_GB2312"/>
          <w:b/>
          <w:bCs/>
          <w:sz w:val="44"/>
          <w:szCs w:val="44"/>
          <w:lang w:val="en-US" w:eastAsia="zh-CN"/>
        </w:rPr>
      </w:pPr>
    </w:p>
    <w:p>
      <w:pPr>
        <w:jc w:val="center"/>
        <w:rPr>
          <w:rFonts w:hint="eastAsia" w:ascii="仿宋_GB2312" w:hAnsi="仿宋_GB2312" w:eastAsia="仿宋_GB2312" w:cs="仿宋_GB2312"/>
          <w:b/>
          <w:bCs/>
          <w:sz w:val="44"/>
          <w:szCs w:val="44"/>
          <w:lang w:val="en-US" w:eastAsia="zh-CN"/>
        </w:rPr>
      </w:pPr>
    </w:p>
    <w:p>
      <w:pPr>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44"/>
          <w:szCs w:val="44"/>
          <w:lang w:val="en-US" w:eastAsia="zh-CN"/>
        </w:rPr>
        <w:t>2019年台江区瀛洲街道老旧住宅小区提升改造</w:t>
      </w:r>
      <w:r>
        <w:rPr>
          <w:rFonts w:hint="eastAsia" w:ascii="仿宋_GB2312" w:hAnsi="仿宋_GB2312" w:eastAsia="仿宋_GB2312" w:cs="仿宋_GB2312"/>
          <w:b/>
          <w:bCs/>
          <w:sz w:val="44"/>
          <w:szCs w:val="44"/>
        </w:rPr>
        <w:t>项目支出绩效评价报告</w:t>
      </w:r>
    </w:p>
    <w:p>
      <w:pPr>
        <w:rPr>
          <w:rFonts w:hint="eastAsia"/>
        </w:rPr>
      </w:pP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一、基本情况</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(一)项目概况。</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rPr>
        <w:t>年，在</w:t>
      </w:r>
      <w:r>
        <w:rPr>
          <w:rFonts w:hint="eastAsia" w:ascii="仿宋_GB2312" w:hAnsi="仿宋_GB2312" w:eastAsia="仿宋_GB2312" w:cs="仿宋_GB2312"/>
          <w:sz w:val="32"/>
          <w:szCs w:val="32"/>
          <w:lang w:eastAsia="zh-CN"/>
        </w:rPr>
        <w:t>瀛洲</w:t>
      </w:r>
      <w:r>
        <w:rPr>
          <w:rFonts w:hint="eastAsia" w:ascii="仿宋_GB2312" w:hAnsi="仿宋_GB2312" w:eastAsia="仿宋_GB2312" w:cs="仿宋_GB2312"/>
          <w:sz w:val="32"/>
          <w:szCs w:val="32"/>
        </w:rPr>
        <w:t>街道党工委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办事处的正确领导下，在上级机关的关心支持和相关部门的积极配合下，</w:t>
      </w:r>
      <w:r>
        <w:rPr>
          <w:rFonts w:hint="eastAsia" w:ascii="仿宋_GB2312" w:hAnsi="仿宋_GB2312" w:eastAsia="仿宋_GB2312" w:cs="仿宋_GB2312"/>
          <w:sz w:val="32"/>
          <w:szCs w:val="32"/>
          <w:lang w:eastAsia="zh-CN"/>
        </w:rPr>
        <w:t>根据</w:t>
      </w:r>
      <w:r>
        <w:rPr>
          <w:rFonts w:hint="eastAsia" w:ascii="仿宋_GB2312" w:hAnsi="仿宋_GB2312" w:eastAsia="仿宋_GB2312" w:cs="仿宋_GB2312"/>
          <w:sz w:val="32"/>
          <w:szCs w:val="32"/>
        </w:rPr>
        <w:t>市下达2019年中央财政城镇保障性安居工程专项资金用于城镇老旧小区改造（榕财建(指)〔2019〕185号）文件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关于</w:t>
      </w:r>
      <w:r>
        <w:rPr>
          <w:rFonts w:hint="eastAsia" w:ascii="仿宋_GB2312" w:hAnsi="仿宋_GB2312" w:eastAsia="仿宋_GB2312" w:cs="仿宋_GB2312"/>
          <w:sz w:val="32"/>
          <w:szCs w:val="32"/>
          <w:lang w:val="en-US" w:eastAsia="zh-CN"/>
        </w:rPr>
        <w:t>建设</w:t>
      </w:r>
      <w:r>
        <w:rPr>
          <w:rFonts w:hint="eastAsia" w:ascii="仿宋_GB2312" w:hAnsi="仿宋_GB2312" w:eastAsia="仿宋_GB2312" w:cs="仿宋_GB2312"/>
          <w:sz w:val="32"/>
          <w:szCs w:val="32"/>
        </w:rPr>
        <w:t>城镇老旧小区改造经费保障机制的指导意见，</w:t>
      </w:r>
      <w:r>
        <w:rPr>
          <w:rFonts w:hint="eastAsia" w:ascii="仿宋_GB2312" w:hAnsi="仿宋_GB2312" w:eastAsia="仿宋_GB2312" w:cs="仿宋_GB2312"/>
          <w:sz w:val="32"/>
          <w:szCs w:val="32"/>
          <w:lang w:val="en-US" w:eastAsia="zh-CN"/>
        </w:rPr>
        <w:t>设置</w:t>
      </w:r>
      <w:r>
        <w:rPr>
          <w:rFonts w:hint="eastAsia" w:ascii="仿宋_GB2312" w:hAnsi="仿宋_GB2312" w:eastAsia="仿宋_GB2312" w:cs="仿宋_GB2312"/>
          <w:sz w:val="32"/>
          <w:szCs w:val="32"/>
        </w:rPr>
        <w:t>城镇老旧小区改造经费</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用于街道老旧小区改</w:t>
      </w:r>
      <w:r>
        <w:rPr>
          <w:rFonts w:hint="eastAsia" w:ascii="仿宋_GB2312" w:hAnsi="仿宋_GB2312" w:eastAsia="仿宋_GB2312" w:cs="仿宋_GB2312"/>
          <w:sz w:val="32"/>
          <w:szCs w:val="32"/>
          <w:lang w:val="en-US" w:eastAsia="zh-CN"/>
        </w:rPr>
        <w:t>造</w:t>
      </w:r>
      <w:r>
        <w:rPr>
          <w:rFonts w:hint="eastAsia" w:ascii="仿宋_GB2312" w:hAnsi="仿宋_GB2312" w:eastAsia="仿宋_GB2312" w:cs="仿宋_GB2312"/>
          <w:sz w:val="32"/>
          <w:szCs w:val="32"/>
        </w:rPr>
        <w:t>工作经费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保障老旧小区改</w:t>
      </w:r>
      <w:r>
        <w:rPr>
          <w:rFonts w:hint="eastAsia" w:ascii="仿宋_GB2312" w:hAnsi="仿宋_GB2312" w:eastAsia="仿宋_GB2312" w:cs="仿宋_GB2312"/>
          <w:sz w:val="32"/>
          <w:szCs w:val="32"/>
          <w:lang w:val="en-US" w:eastAsia="zh-CN"/>
        </w:rPr>
        <w:t>造</w:t>
      </w:r>
      <w:r>
        <w:rPr>
          <w:rFonts w:hint="eastAsia" w:ascii="仿宋_GB2312" w:hAnsi="仿宋_GB2312" w:eastAsia="仿宋_GB2312" w:cs="仿宋_GB2312"/>
          <w:sz w:val="32"/>
          <w:szCs w:val="32"/>
        </w:rPr>
        <w:t>日常工作运转及相关人员经费支出。将</w:t>
      </w:r>
      <w:r>
        <w:rPr>
          <w:rFonts w:hint="eastAsia" w:ascii="仿宋_GB2312" w:hAnsi="仿宋_GB2312" w:eastAsia="仿宋_GB2312" w:cs="仿宋_GB2312"/>
          <w:sz w:val="32"/>
          <w:szCs w:val="32"/>
          <w:lang w:eastAsia="zh-CN"/>
        </w:rPr>
        <w:t>该项目</w:t>
      </w:r>
      <w:r>
        <w:rPr>
          <w:rFonts w:hint="eastAsia" w:ascii="仿宋_GB2312" w:hAnsi="仿宋_GB2312" w:eastAsia="仿宋_GB2312" w:cs="仿宋_GB2312"/>
          <w:sz w:val="32"/>
          <w:szCs w:val="32"/>
        </w:rPr>
        <w:t>经费纳入街道财政预算，根据规定20</w:t>
      </w: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rPr>
        <w:t>年该项目预算批复数为</w:t>
      </w:r>
      <w:r>
        <w:rPr>
          <w:rFonts w:hint="eastAsia" w:ascii="仿宋_GB2312" w:hAnsi="仿宋_GB2312" w:eastAsia="仿宋_GB2312" w:cs="仿宋_GB2312"/>
          <w:sz w:val="32"/>
          <w:szCs w:val="32"/>
          <w:lang w:val="en-US" w:eastAsia="zh-CN"/>
        </w:rPr>
        <w:t>134.02</w:t>
      </w:r>
      <w:r>
        <w:rPr>
          <w:rFonts w:hint="eastAsia" w:ascii="仿宋_GB2312" w:hAnsi="仿宋_GB2312" w:eastAsia="仿宋_GB2312" w:cs="仿宋_GB2312"/>
          <w:sz w:val="32"/>
          <w:szCs w:val="32"/>
        </w:rPr>
        <w:t>万元，设置本项目。</w:t>
      </w:r>
    </w:p>
    <w:p>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项目绩效目标。</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通过改造老旧小区，含雨污分流改造、路面修复、绿化美化、缆线规整、树木移植及修剪改造等。</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二、绩效评价工作开展情况</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(一)绩效评价的目的、对象和范围。</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部门绩效评价主要包括对项目绩效目标设置的合理性、战略发展规划的适应性、财政资金分配合理性、资金使用合规性、为加强管理所制定的相关制度、制度执行情况、采取的措施、绩效目标实现程度经及所产生的社会、经济效益等进行评价。</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通过绩效评价旨在督促相关单位进一步规范完善项目资金的使用和管理，并考核项目在一定期限内达到的产出与效益，为今后提高专项资金使用的财政绩效提供借鉴。</w:t>
      </w:r>
    </w:p>
    <w:p>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绩效评价原则、评价指标体系、评价方法、评价标准</w:t>
      </w:r>
    </w:p>
    <w:p>
      <w:pPr>
        <w:keepNext w:val="0"/>
        <w:keepLines w:val="0"/>
        <w:pageBreakBefore w:val="0"/>
        <w:widowControl w:val="0"/>
        <w:numPr>
          <w:ilvl w:val="0"/>
          <w:numId w:val="1"/>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评价原则:以项目绩效产出及效益为侧重，运用科学合理的方法，按规范程序对项目绩效进行客观、公正反映并与项目预算安排、政策调整、改进管理实质性相挂钩，根据评价结果进行奖优罚劣，评价结果依法依规公开，接受社会监督。</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评价</w:t>
      </w:r>
      <w:r>
        <w:rPr>
          <w:rFonts w:hint="eastAsia" w:ascii="仿宋_GB2312" w:hAnsi="仿宋_GB2312" w:eastAsia="仿宋_GB2312" w:cs="仿宋_GB2312"/>
          <w:sz w:val="32"/>
          <w:szCs w:val="32"/>
          <w:lang w:val="en-US" w:eastAsia="zh-CN"/>
        </w:rPr>
        <w:t>主要</w:t>
      </w:r>
      <w:r>
        <w:rPr>
          <w:rFonts w:hint="eastAsia" w:ascii="仿宋_GB2312" w:hAnsi="仿宋_GB2312" w:eastAsia="仿宋_GB2312" w:cs="仿宋_GB2312"/>
          <w:sz w:val="32"/>
          <w:szCs w:val="32"/>
        </w:rPr>
        <w:t>指标体系</w:t>
      </w:r>
    </w:p>
    <w:tbl>
      <w:tblPr>
        <w:tblStyle w:val="4"/>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8"/>
        <w:gridCol w:w="1013"/>
        <w:gridCol w:w="5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8" w:type="dxa"/>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指标类型</w:t>
            </w:r>
          </w:p>
        </w:tc>
        <w:tc>
          <w:tcPr>
            <w:tcW w:w="1013" w:type="dxa"/>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分值</w:t>
            </w:r>
          </w:p>
        </w:tc>
        <w:tc>
          <w:tcPr>
            <w:tcW w:w="5449" w:type="dxa"/>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0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_GB2312" w:hAnsi="仿宋_GB2312" w:eastAsia="仿宋_GB2312" w:cs="仿宋_GB2312"/>
                <w:sz w:val="36"/>
                <w:szCs w:val="36"/>
                <w:vertAlign w:val="baseline"/>
                <w:lang w:val="en-US" w:eastAsia="zh-CN"/>
              </w:rPr>
            </w:pPr>
            <w:r>
              <w:rPr>
                <w:rFonts w:hint="eastAsia" w:ascii="仿宋_GB2312" w:hAnsi="仿宋_GB2312" w:eastAsia="仿宋_GB2312" w:cs="仿宋_GB2312"/>
                <w:sz w:val="36"/>
                <w:szCs w:val="36"/>
                <w:vertAlign w:val="baseline"/>
                <w:lang w:val="en-US" w:eastAsia="zh-CN"/>
              </w:rPr>
              <w:t>项目决策</w:t>
            </w:r>
          </w:p>
        </w:tc>
        <w:tc>
          <w:tcPr>
            <w:tcW w:w="101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_GB2312" w:hAnsi="仿宋_GB2312" w:eastAsia="仿宋_GB2312" w:cs="仿宋_GB2312"/>
                <w:sz w:val="36"/>
                <w:szCs w:val="36"/>
                <w:vertAlign w:val="baseline"/>
                <w:lang w:val="en-US" w:eastAsia="zh-CN"/>
              </w:rPr>
            </w:pPr>
            <w:r>
              <w:rPr>
                <w:rFonts w:hint="eastAsia" w:ascii="仿宋_GB2312" w:hAnsi="仿宋_GB2312" w:eastAsia="仿宋_GB2312" w:cs="仿宋_GB2312"/>
                <w:sz w:val="36"/>
                <w:szCs w:val="36"/>
                <w:vertAlign w:val="baseline"/>
                <w:lang w:val="en-US" w:eastAsia="zh-CN"/>
              </w:rPr>
              <w:t>20%</w:t>
            </w:r>
          </w:p>
        </w:tc>
        <w:tc>
          <w:tcPr>
            <w:tcW w:w="5449" w:type="dxa"/>
          </w:tcPr>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主要对项目立项、绩效目标、资金投入等方面进行评价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0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_GB2312" w:hAnsi="仿宋_GB2312" w:eastAsia="仿宋_GB2312" w:cs="仿宋_GB2312"/>
                <w:sz w:val="36"/>
                <w:szCs w:val="36"/>
                <w:vertAlign w:val="baseline"/>
                <w:lang w:val="en-US" w:eastAsia="zh-CN"/>
              </w:rPr>
            </w:pPr>
            <w:r>
              <w:rPr>
                <w:rFonts w:hint="eastAsia" w:ascii="仿宋_GB2312" w:hAnsi="仿宋_GB2312" w:eastAsia="仿宋_GB2312" w:cs="仿宋_GB2312"/>
                <w:sz w:val="36"/>
                <w:szCs w:val="36"/>
                <w:vertAlign w:val="baseline"/>
                <w:lang w:val="en-US" w:eastAsia="zh-CN"/>
              </w:rPr>
              <w:t>项目管理</w:t>
            </w:r>
          </w:p>
        </w:tc>
        <w:tc>
          <w:tcPr>
            <w:tcW w:w="101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_GB2312" w:hAnsi="仿宋_GB2312" w:eastAsia="仿宋_GB2312" w:cs="仿宋_GB2312"/>
                <w:sz w:val="36"/>
                <w:szCs w:val="36"/>
                <w:vertAlign w:val="baseline"/>
                <w:lang w:val="en-US" w:eastAsia="zh-CN"/>
              </w:rPr>
            </w:pPr>
            <w:r>
              <w:rPr>
                <w:rFonts w:hint="eastAsia" w:ascii="仿宋_GB2312" w:hAnsi="仿宋_GB2312" w:eastAsia="仿宋_GB2312" w:cs="仿宋_GB2312"/>
                <w:sz w:val="36"/>
                <w:szCs w:val="36"/>
                <w:vertAlign w:val="baseline"/>
                <w:lang w:val="en-US" w:eastAsia="zh-CN"/>
              </w:rPr>
              <w:t>20%</w:t>
            </w:r>
          </w:p>
        </w:tc>
        <w:tc>
          <w:tcPr>
            <w:tcW w:w="5449" w:type="dxa"/>
          </w:tcPr>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主要对项目资金管理、组织实施等方面进行评价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0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_GB2312" w:hAnsi="仿宋_GB2312" w:eastAsia="仿宋_GB2312" w:cs="仿宋_GB2312"/>
                <w:sz w:val="36"/>
                <w:szCs w:val="36"/>
                <w:vertAlign w:val="baseline"/>
                <w:lang w:val="en-US" w:eastAsia="zh-CN"/>
              </w:rPr>
            </w:pPr>
            <w:r>
              <w:rPr>
                <w:rFonts w:hint="eastAsia" w:ascii="仿宋_GB2312" w:hAnsi="仿宋_GB2312" w:eastAsia="仿宋_GB2312" w:cs="仿宋_GB2312"/>
                <w:sz w:val="36"/>
                <w:szCs w:val="36"/>
                <w:vertAlign w:val="baseline"/>
                <w:lang w:val="en-US" w:eastAsia="zh-CN"/>
              </w:rPr>
              <w:t>项目产出</w:t>
            </w:r>
          </w:p>
        </w:tc>
        <w:tc>
          <w:tcPr>
            <w:tcW w:w="101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_GB2312" w:hAnsi="仿宋_GB2312" w:eastAsia="仿宋_GB2312" w:cs="仿宋_GB2312"/>
                <w:sz w:val="36"/>
                <w:szCs w:val="36"/>
                <w:vertAlign w:val="baseline"/>
                <w:lang w:val="en-US" w:eastAsia="zh-CN"/>
              </w:rPr>
            </w:pPr>
            <w:r>
              <w:rPr>
                <w:rFonts w:hint="eastAsia" w:ascii="仿宋_GB2312" w:hAnsi="仿宋_GB2312" w:eastAsia="仿宋_GB2312" w:cs="仿宋_GB2312"/>
                <w:sz w:val="36"/>
                <w:szCs w:val="36"/>
                <w:vertAlign w:val="baseline"/>
                <w:lang w:val="en-US" w:eastAsia="zh-CN"/>
              </w:rPr>
              <w:t>30%</w:t>
            </w:r>
          </w:p>
        </w:tc>
        <w:tc>
          <w:tcPr>
            <w:tcW w:w="5449" w:type="dxa"/>
          </w:tcPr>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主要对项目产出数量、质量、时效等方面进行评价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0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_GB2312" w:hAnsi="仿宋_GB2312" w:eastAsia="仿宋_GB2312" w:cs="仿宋_GB2312"/>
                <w:sz w:val="36"/>
                <w:szCs w:val="36"/>
                <w:vertAlign w:val="baseline"/>
                <w:lang w:val="en-US" w:eastAsia="zh-CN"/>
              </w:rPr>
            </w:pPr>
            <w:r>
              <w:rPr>
                <w:rFonts w:hint="eastAsia" w:ascii="仿宋_GB2312" w:hAnsi="仿宋_GB2312" w:eastAsia="仿宋_GB2312" w:cs="仿宋_GB2312"/>
                <w:sz w:val="36"/>
                <w:szCs w:val="36"/>
                <w:vertAlign w:val="baseline"/>
                <w:lang w:val="en-US" w:eastAsia="zh-CN"/>
              </w:rPr>
              <w:t>项目效益</w:t>
            </w:r>
          </w:p>
        </w:tc>
        <w:tc>
          <w:tcPr>
            <w:tcW w:w="101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_GB2312" w:hAnsi="仿宋_GB2312" w:eastAsia="仿宋_GB2312" w:cs="仿宋_GB2312"/>
                <w:sz w:val="36"/>
                <w:szCs w:val="36"/>
                <w:vertAlign w:val="baseline"/>
                <w:lang w:val="en-US" w:eastAsia="zh-CN"/>
              </w:rPr>
            </w:pPr>
            <w:r>
              <w:rPr>
                <w:rFonts w:hint="eastAsia" w:ascii="仿宋_GB2312" w:hAnsi="仿宋_GB2312" w:eastAsia="仿宋_GB2312" w:cs="仿宋_GB2312"/>
                <w:sz w:val="36"/>
                <w:szCs w:val="36"/>
                <w:vertAlign w:val="baseline"/>
                <w:lang w:val="en-US" w:eastAsia="zh-CN"/>
              </w:rPr>
              <w:t>20%</w:t>
            </w:r>
          </w:p>
        </w:tc>
        <w:tc>
          <w:tcPr>
            <w:tcW w:w="5449" w:type="dxa"/>
          </w:tcPr>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主要对项目生态效益方面进行评价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20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_GB2312" w:hAnsi="仿宋_GB2312" w:eastAsia="仿宋_GB2312" w:cs="仿宋_GB2312"/>
                <w:sz w:val="36"/>
                <w:szCs w:val="36"/>
                <w:vertAlign w:val="baseline"/>
                <w:lang w:val="en-US" w:eastAsia="zh-CN"/>
              </w:rPr>
            </w:pPr>
            <w:r>
              <w:rPr>
                <w:rFonts w:hint="eastAsia" w:ascii="仿宋_GB2312" w:hAnsi="仿宋_GB2312" w:eastAsia="仿宋_GB2312" w:cs="仿宋_GB2312"/>
                <w:sz w:val="36"/>
                <w:szCs w:val="36"/>
                <w:vertAlign w:val="baseline"/>
                <w:lang w:val="en-US" w:eastAsia="zh-CN"/>
              </w:rPr>
              <w:t>项目满意度</w:t>
            </w:r>
          </w:p>
        </w:tc>
        <w:tc>
          <w:tcPr>
            <w:tcW w:w="101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_GB2312" w:hAnsi="仿宋_GB2312" w:eastAsia="仿宋_GB2312" w:cs="仿宋_GB2312"/>
                <w:sz w:val="36"/>
                <w:szCs w:val="36"/>
                <w:vertAlign w:val="baseline"/>
                <w:lang w:val="en-US" w:eastAsia="zh-CN"/>
              </w:rPr>
            </w:pPr>
            <w:r>
              <w:rPr>
                <w:rFonts w:hint="eastAsia" w:ascii="仿宋_GB2312" w:hAnsi="仿宋_GB2312" w:eastAsia="仿宋_GB2312" w:cs="仿宋_GB2312"/>
                <w:sz w:val="36"/>
                <w:szCs w:val="36"/>
                <w:vertAlign w:val="baseline"/>
                <w:lang w:val="en-US" w:eastAsia="zh-CN"/>
              </w:rPr>
              <w:t>10%</w:t>
            </w:r>
          </w:p>
        </w:tc>
        <w:tc>
          <w:tcPr>
            <w:tcW w:w="5449" w:type="dxa"/>
          </w:tcPr>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服务对象满意度等方面进行评价</w:t>
            </w:r>
          </w:p>
        </w:tc>
      </w:tr>
    </w:tbl>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评价方法:采用按比例计算得分方式及定量与定性评价相结合的比较法</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评价标准:采用的标准形式为计划标准和历史标准。</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sz w:val="24"/>
          <w:szCs w:val="24"/>
        </w:rPr>
      </w:pPr>
      <w:r>
        <w:rPr>
          <w:rFonts w:hint="eastAsia" w:ascii="仿宋" w:hAnsi="仿宋" w:eastAsia="仿宋" w:cs="仿宋"/>
          <w:color w:val="000000" w:themeColor="text1"/>
          <w:sz w:val="32"/>
          <w:szCs w:val="32"/>
          <w14:textFill>
            <w14:solidFill>
              <w14:schemeClr w14:val="tx1"/>
            </w14:solidFill>
          </w14:textFill>
        </w:rPr>
        <w:t>(三)绩效评价工作过程。</w:t>
      </w:r>
    </w:p>
    <w:p>
      <w:pPr>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本次评价大致分为评价准备工作、审核分析材料、综合分析评价三个阶段。各阶段工作简述如下：</w:t>
      </w:r>
    </w:p>
    <w:p>
      <w:pPr>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（1）评价准备工作</w:t>
      </w:r>
    </w:p>
    <w:p>
      <w:pPr>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瀛洲</w:t>
      </w:r>
      <w:r>
        <w:rPr>
          <w:rFonts w:hint="eastAsia" w:ascii="仿宋" w:hAnsi="仿宋" w:eastAsia="仿宋" w:cs="仿宋"/>
          <w:color w:val="000000" w:themeColor="text1"/>
          <w:sz w:val="32"/>
          <w:szCs w:val="32"/>
          <w14:textFill>
            <w14:solidFill>
              <w14:schemeClr w14:val="tx1"/>
            </w14:solidFill>
          </w14:textFill>
        </w:rPr>
        <w:t>街道办事处为此次评价工作组织者，制定工作方案和工作计划，组织项目实施单位布置相关评价工作。</w:t>
      </w:r>
    </w:p>
    <w:p>
      <w:pPr>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（2）审核分析材料</w:t>
      </w:r>
    </w:p>
    <w:p>
      <w:pPr>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对项目实施单位自评报告及相关材料进行了审核，并对项目实施情况进行了核实。</w:t>
      </w:r>
    </w:p>
    <w:p>
      <w:pPr>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（3）综合分析评价</w:t>
      </w:r>
    </w:p>
    <w:p>
      <w:pPr>
        <w:ind w:firstLine="640" w:firstLineChars="200"/>
        <w:jc w:val="lef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对有关材料进行分析整理，按照绩效评价要求，认真开展了绩效评价，形成了绩效评价。</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综合评价情况及评价结论</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绩效评价，通过与业务部门及项目单位进行座谈，收集项目相关政策文件和制度等资料，并审查核实项目申报、批复及实施、资金拨付、使用及管理情况，相关制度建设执行情况，绩效目标实现程度等，拟定了专项资金绩效评价指标体系。在评价工作开展过程中，对项目单位进行收集考核，对项目资金到位情况、资金使用情况等相关数据进行了复核。</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本次绩效评价，采用按比例计算得分方式及定量与定性评价相结合的比较法，对1</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条绩效评价指标逐项评价，在项目资金使用、业务管理、财务管理、项目产出、项目效益、项目满意度等方面进行综合评价。</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rPr>
        <w:t>年度台江区</w:t>
      </w:r>
      <w:r>
        <w:rPr>
          <w:rFonts w:hint="eastAsia" w:ascii="仿宋_GB2312" w:hAnsi="仿宋_GB2312" w:eastAsia="仿宋_GB2312" w:cs="仿宋_GB2312"/>
          <w:sz w:val="32"/>
          <w:szCs w:val="32"/>
          <w:lang w:val="en-US" w:eastAsia="zh-CN"/>
        </w:rPr>
        <w:t>房管局</w:t>
      </w:r>
      <w:r>
        <w:rPr>
          <w:rFonts w:hint="eastAsia" w:ascii="仿宋_GB2312" w:hAnsi="仿宋_GB2312" w:eastAsia="仿宋_GB2312" w:cs="仿宋_GB2312"/>
          <w:sz w:val="32"/>
          <w:szCs w:val="32"/>
        </w:rPr>
        <w:t>城镇老旧小区改造经费项目立项依据充分，主要用于支付20</w:t>
      </w: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rPr>
        <w:t>年度台江区</w:t>
      </w:r>
      <w:r>
        <w:rPr>
          <w:rFonts w:hint="eastAsia" w:ascii="仿宋_GB2312" w:hAnsi="仿宋_GB2312" w:eastAsia="仿宋_GB2312" w:cs="仿宋_GB2312"/>
          <w:sz w:val="32"/>
          <w:szCs w:val="32"/>
          <w:lang w:val="en-US" w:eastAsia="zh-CN"/>
        </w:rPr>
        <w:t>房管局</w:t>
      </w:r>
      <w:r>
        <w:rPr>
          <w:rFonts w:hint="eastAsia" w:ascii="仿宋_GB2312" w:hAnsi="仿宋_GB2312" w:eastAsia="仿宋_GB2312" w:cs="仿宋_GB2312"/>
          <w:sz w:val="32"/>
          <w:szCs w:val="32"/>
        </w:rPr>
        <w:t>城镇老旧小区改造</w:t>
      </w:r>
      <w:r>
        <w:rPr>
          <w:rFonts w:hint="eastAsia" w:ascii="仿宋_GB2312" w:hAnsi="仿宋_GB2312" w:eastAsia="仿宋_GB2312" w:cs="仿宋_GB2312"/>
          <w:sz w:val="32"/>
          <w:szCs w:val="32"/>
          <w:lang w:val="en-US" w:eastAsia="zh-CN"/>
        </w:rPr>
        <w:t>经费，资金到位及时，但因施工单位未及时提供相关支付佐证材料，导致支付中心审核未通过，故延迟支付。</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四、绩效评价指标分析</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(一)项目决策情况。</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立项符合国家法律法规、国民经济发展规划和相关政策；项目立项符合行业发展规划和政策要求；项目立项与部门职责范围相符，属于部门履职所需；项目属于公共财政支持范围，符合中央、地方事权支出责任划分原则,项目没有与相关部门同类项目或部门内部相关项目重复。</w:t>
      </w:r>
    </w:p>
    <w:p>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符合国家财经法规和财务管理制度以及有关专项资金管理办法的规定；资金的拨付有完整的审批程序和手续；符合项目预算批复的用途；不存在截留、挤占、挪用、虚列支出等情况。遵守相关法律法规和相关管理规定；项目实施的人员条件、场地设备、信息支撑等落实到位。己制定或具有相应的财务和业务管理制度；财务和业务管理制度合法、合规、完整。</w:t>
      </w:r>
    </w:p>
    <w:p>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项目产出情况。</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2019年老旧小区提升改造项目产出数量</w:t>
      </w:r>
      <w:r>
        <w:rPr>
          <w:rFonts w:hint="eastAsia" w:ascii="仿宋_GB2312" w:hAnsi="仿宋_GB2312" w:eastAsia="仿宋_GB2312" w:cs="仿宋_GB2312"/>
          <w:sz w:val="32"/>
          <w:szCs w:val="32"/>
        </w:rPr>
        <w:t>实际完成率=A（实际产出数/计划产出数）X100%</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质量达标率A=（质量达标产出数/实际产出数）X100%=100%，按照项目实施计划或相关规定完成该项目所需的时间，计划完成时间≧实际完成时间。</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实际成本：项目实施单位如期、保质、保量完成既定工作目标实际所耗费的支出。计划成本：项目实施单位为完成工作目标计划安排的支出，一般以项目预算为参考，成本节约率A=［（计划成本-实际成本）/计划成本］X100%。</w:t>
      </w:r>
    </w:p>
    <w:p>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项目效益情况。</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本次评价项目效益具体如下:服务对象满意度指标-受益群众满意度:该指标主要评价项目抽样调查，满意人数/有效调查人数</w:t>
      </w:r>
      <w:r>
        <w:rPr>
          <w:rFonts w:hint="eastAsia" w:ascii="仿宋_GB2312" w:hAnsi="仿宋_GB2312" w:eastAsia="仿宋_GB2312" w:cs="仿宋_GB2312"/>
          <w:sz w:val="32"/>
          <w:szCs w:val="32"/>
          <w:lang w:val="en-US" w:eastAsia="zh-CN"/>
        </w:rPr>
        <w:t>X</w:t>
      </w:r>
      <w:r>
        <w:rPr>
          <w:rFonts w:hint="eastAsia" w:ascii="仿宋_GB2312" w:hAnsi="仿宋_GB2312" w:eastAsia="仿宋_GB2312" w:cs="仿宋_GB2312"/>
          <w:sz w:val="32"/>
          <w:szCs w:val="32"/>
        </w:rPr>
        <w:t>100%</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五、主要经验及做法、存在的问题及原因分析</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存在的问题：因施工单位未及时提供相关支付佐证材料，导致支付中心审核未通过，故延迟支付。</w:t>
      </w:r>
    </w:p>
    <w:p>
      <w:pPr>
        <w:keepNext w:val="0"/>
        <w:keepLines w:val="0"/>
        <w:pageBreakBefore w:val="0"/>
        <w:widowControl w:val="0"/>
        <w:numPr>
          <w:ilvl w:val="0"/>
          <w:numId w:val="3"/>
        </w:numPr>
        <w:kinsoku/>
        <w:wordWrap/>
        <w:overflowPunct/>
        <w:topLinePunct w:val="0"/>
        <w:autoSpaceDE/>
        <w:autoSpaceDN/>
        <w:bidi w:val="0"/>
        <w:adjustRightInd/>
        <w:snapToGrid/>
        <w:ind w:left="0" w:leftChars="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有关建议</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2023年及时结转2022年未支付2019年老旧小区提升改造相关项目款项，备齐相关材料报送区支付中心予以支付。</w:t>
      </w:r>
    </w:p>
    <w:p>
      <w:pPr>
        <w:keepNext w:val="0"/>
        <w:keepLines w:val="0"/>
        <w:pageBreakBefore w:val="0"/>
        <w:widowControl w:val="0"/>
        <w:numPr>
          <w:ilvl w:val="0"/>
          <w:numId w:val="3"/>
        </w:numPr>
        <w:kinsoku/>
        <w:wordWrap/>
        <w:overflowPunct/>
        <w:topLinePunct w:val="0"/>
        <w:autoSpaceDE/>
        <w:autoSpaceDN/>
        <w:bidi w:val="0"/>
        <w:adjustRightInd/>
        <w:snapToGrid/>
        <w:ind w:left="0" w:leftChars="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2019年台江区老旧住宅小区改造为政府民生工程项目，该项目只是在原有的住宅面积基层上做相关提升，无需做环评报告。</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台江区瀛洲街道办事处</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2023年7月</w:t>
      </w:r>
      <w:bookmarkStart w:id="0" w:name="_GoBack"/>
      <w:bookmarkEnd w:id="0"/>
      <w:r>
        <w:rPr>
          <w:rFonts w:hint="eastAsia" w:ascii="仿宋_GB2312" w:hAnsi="仿宋_GB2312" w:eastAsia="仿宋_GB2312" w:cs="仿宋_GB2312"/>
          <w:sz w:val="32"/>
          <w:szCs w:val="32"/>
          <w:lang w:val="en-US" w:eastAsia="zh-CN"/>
        </w:rPr>
        <w:t>23日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C6CF4C"/>
    <w:multiLevelType w:val="singleLevel"/>
    <w:tmpl w:val="88C6CF4C"/>
    <w:lvl w:ilvl="0" w:tentative="0">
      <w:start w:val="1"/>
      <w:numFmt w:val="decimal"/>
      <w:suff w:val="nothing"/>
      <w:lvlText w:val="（%1）"/>
      <w:lvlJc w:val="left"/>
    </w:lvl>
  </w:abstractNum>
  <w:abstractNum w:abstractNumId="1">
    <w:nsid w:val="9CE3E787"/>
    <w:multiLevelType w:val="singleLevel"/>
    <w:tmpl w:val="9CE3E787"/>
    <w:lvl w:ilvl="0" w:tentative="0">
      <w:start w:val="6"/>
      <w:numFmt w:val="chineseCounting"/>
      <w:suff w:val="nothing"/>
      <w:lvlText w:val="%1、"/>
      <w:lvlJc w:val="left"/>
      <w:rPr>
        <w:rFonts w:hint="eastAsia"/>
      </w:rPr>
    </w:lvl>
  </w:abstractNum>
  <w:abstractNum w:abstractNumId="2">
    <w:nsid w:val="214A9322"/>
    <w:multiLevelType w:val="singleLevel"/>
    <w:tmpl w:val="214A9322"/>
    <w:lvl w:ilvl="0" w:tentative="0">
      <w:start w:val="3"/>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1MjZlMDQxZGViNWMwMmM0MThhNjUxNzUzYjgwY2YifQ=="/>
  </w:docVars>
  <w:rsids>
    <w:rsidRoot w:val="04B83ACC"/>
    <w:rsid w:val="04B83ACC"/>
    <w:rsid w:val="0EF70758"/>
    <w:rsid w:val="29FA49C9"/>
    <w:rsid w:val="5AFA1705"/>
    <w:rsid w:val="755164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2102</Words>
  <Characters>2174</Characters>
  <Lines>0</Lines>
  <Paragraphs>0</Paragraphs>
  <TotalTime>145</TotalTime>
  <ScaleCrop>false</ScaleCrop>
  <LinksUpToDate>false</LinksUpToDate>
  <CharactersWithSpaces>2174</CharactersWithSpaces>
  <Application>WPS Office_10.8.2.6726_F1E327BC-269C-435d-A152-05C5408002CA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2023-07-11T02:16:00Z</dcterms:created>
  <dc:creator>倩倩啊、</dc:creator>
  <cp:lastModifiedBy>Lenovo</cp:lastModifiedBy>
  <dcterms:modified xsi:type="dcterms:W3CDTF">2024-07-23T13:17:06Z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B487A9BF0293484B85A7CDF337D2A957_13</vt:lpwstr>
  </property>
</Properties>
</file>