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CA56C9">
      <w:pPr>
        <w:pStyle w:val="16"/>
        <w:rPr>
          <w:sz w:val="48"/>
          <w:szCs w:val="48"/>
        </w:rPr>
      </w:pPr>
      <w:bookmarkStart w:id="3" w:name="_GoBack"/>
      <w:bookmarkEnd w:id="3"/>
    </w:p>
    <w:p w14:paraId="31701C8F">
      <w:pPr>
        <w:pStyle w:val="16"/>
        <w:rPr>
          <w:sz w:val="48"/>
          <w:szCs w:val="48"/>
        </w:rPr>
      </w:pPr>
      <w:r>
        <w:rPr>
          <w:rFonts w:hint="eastAsia"/>
          <w:sz w:val="48"/>
          <w:szCs w:val="48"/>
        </w:rPr>
        <w:t>福州市台江区噪声敏感建筑物集中区域</w:t>
      </w:r>
    </w:p>
    <w:p w14:paraId="350474FD">
      <w:pPr>
        <w:pStyle w:val="16"/>
        <w:rPr>
          <w:rFonts w:eastAsia="宋体"/>
          <w:kern w:val="2"/>
          <w:sz w:val="22"/>
          <w:szCs w:val="22"/>
        </w:rPr>
      </w:pPr>
      <w:r>
        <w:rPr>
          <w:rFonts w:hint="eastAsia"/>
          <w:sz w:val="48"/>
          <w:szCs w:val="48"/>
        </w:rPr>
        <w:t>划定方案</w:t>
      </w:r>
    </w:p>
    <w:p w14:paraId="0708DBFD">
      <w:pPr>
        <w:ind w:firstLine="0" w:firstLineChars="0"/>
        <w:jc w:val="center"/>
        <w:rPr>
          <w:sz w:val="28"/>
          <w:szCs w:val="24"/>
        </w:rPr>
      </w:pPr>
    </w:p>
    <w:p w14:paraId="79EC36B9">
      <w:pPr>
        <w:ind w:firstLine="0" w:firstLineChars="0"/>
        <w:jc w:val="center"/>
        <w:rPr>
          <w:sz w:val="28"/>
          <w:szCs w:val="24"/>
        </w:rPr>
      </w:pPr>
    </w:p>
    <w:p w14:paraId="75FC51C9">
      <w:pPr>
        <w:ind w:firstLine="0" w:firstLineChars="0"/>
        <w:jc w:val="center"/>
        <w:rPr>
          <w:rFonts w:ascii="华文中宋" w:eastAsia="华文中宋" w:cs="Times New Roman"/>
          <w:b/>
          <w:kern w:val="0"/>
          <w:sz w:val="44"/>
          <w:szCs w:val="44"/>
        </w:rPr>
      </w:pPr>
      <w:r>
        <w:rPr>
          <w:rFonts w:hint="eastAsia" w:ascii="华文中宋" w:eastAsia="华文中宋" w:cs="Times New Roman"/>
          <w:b/>
          <w:kern w:val="0"/>
          <w:sz w:val="44"/>
          <w:szCs w:val="44"/>
        </w:rPr>
        <w:t>（征求意见稿）</w:t>
      </w:r>
    </w:p>
    <w:p w14:paraId="6BDA9283">
      <w:pPr>
        <w:ind w:firstLine="560"/>
        <w:rPr>
          <w:sz w:val="28"/>
          <w:szCs w:val="24"/>
        </w:rPr>
      </w:pPr>
    </w:p>
    <w:p w14:paraId="3B33AD97">
      <w:pPr>
        <w:ind w:firstLine="560"/>
        <w:rPr>
          <w:sz w:val="28"/>
          <w:szCs w:val="24"/>
        </w:rPr>
      </w:pPr>
    </w:p>
    <w:p w14:paraId="48975964">
      <w:pPr>
        <w:ind w:firstLine="560"/>
        <w:rPr>
          <w:sz w:val="28"/>
          <w:szCs w:val="24"/>
        </w:rPr>
      </w:pPr>
    </w:p>
    <w:p w14:paraId="714D1B81">
      <w:pPr>
        <w:ind w:firstLine="560"/>
        <w:rPr>
          <w:sz w:val="28"/>
          <w:szCs w:val="24"/>
        </w:rPr>
      </w:pPr>
    </w:p>
    <w:p w14:paraId="36251D53">
      <w:pPr>
        <w:ind w:firstLine="560"/>
        <w:rPr>
          <w:sz w:val="28"/>
          <w:szCs w:val="24"/>
        </w:rPr>
      </w:pPr>
    </w:p>
    <w:p w14:paraId="48E2BD90">
      <w:pPr>
        <w:ind w:firstLine="560"/>
        <w:rPr>
          <w:sz w:val="28"/>
          <w:szCs w:val="24"/>
        </w:rPr>
      </w:pPr>
    </w:p>
    <w:p w14:paraId="3D8F10EF">
      <w:pPr>
        <w:ind w:firstLine="560"/>
        <w:rPr>
          <w:sz w:val="28"/>
          <w:szCs w:val="24"/>
        </w:rPr>
      </w:pPr>
    </w:p>
    <w:p w14:paraId="34896F93">
      <w:pPr>
        <w:ind w:firstLine="560"/>
        <w:rPr>
          <w:sz w:val="28"/>
          <w:szCs w:val="24"/>
        </w:rPr>
      </w:pPr>
    </w:p>
    <w:p w14:paraId="178A3093">
      <w:pPr>
        <w:ind w:firstLine="560"/>
        <w:rPr>
          <w:sz w:val="28"/>
          <w:szCs w:val="24"/>
        </w:rPr>
      </w:pPr>
    </w:p>
    <w:p w14:paraId="2B762689">
      <w:pPr>
        <w:ind w:firstLine="560"/>
        <w:rPr>
          <w:sz w:val="28"/>
          <w:szCs w:val="24"/>
        </w:rPr>
      </w:pPr>
    </w:p>
    <w:p w14:paraId="6EB112E9">
      <w:pPr>
        <w:ind w:firstLine="560"/>
        <w:rPr>
          <w:sz w:val="28"/>
          <w:szCs w:val="24"/>
        </w:rPr>
      </w:pPr>
    </w:p>
    <w:p w14:paraId="1A2F56E1">
      <w:pPr>
        <w:ind w:firstLine="0" w:firstLineChars="0"/>
        <w:jc w:val="center"/>
        <w:rPr>
          <w:b/>
          <w:bCs/>
          <w:sz w:val="28"/>
          <w:szCs w:val="24"/>
        </w:rPr>
      </w:pPr>
      <w:r>
        <w:rPr>
          <w:rFonts w:hint="eastAsia"/>
          <w:b/>
          <w:bCs/>
          <w:sz w:val="28"/>
          <w:szCs w:val="24"/>
        </w:rPr>
        <w:t>台江区人民政府</w:t>
      </w:r>
    </w:p>
    <w:p w14:paraId="51EBAA6C">
      <w:pPr>
        <w:ind w:firstLine="0" w:firstLineChars="0"/>
        <w:jc w:val="center"/>
        <w:rPr>
          <w:sz w:val="28"/>
          <w:szCs w:val="24"/>
        </w:rPr>
        <w:sectPr>
          <w:footerReference r:id="rId7" w:type="first"/>
          <w:footerReference r:id="rId5" w:type="default"/>
          <w:footerReference r:id="rId6" w:type="even"/>
          <w:pgSz w:w="11906" w:h="16838"/>
          <w:pgMar w:top="1440" w:right="1800" w:bottom="1440" w:left="1800" w:header="851" w:footer="992" w:gutter="0"/>
          <w:pgNumType w:start="1" w:chapStyle="1"/>
          <w:cols w:space="425" w:num="1"/>
          <w:docGrid w:type="lines" w:linePitch="312" w:charSpace="0"/>
        </w:sectPr>
      </w:pPr>
      <w:r>
        <w:rPr>
          <w:rFonts w:hint="eastAsia"/>
          <w:b/>
          <w:bCs/>
          <w:sz w:val="28"/>
          <w:szCs w:val="24"/>
        </w:rPr>
        <w:t>2</w:t>
      </w:r>
      <w:r>
        <w:rPr>
          <w:b/>
          <w:bCs/>
          <w:sz w:val="28"/>
          <w:szCs w:val="24"/>
        </w:rPr>
        <w:t>025</w:t>
      </w:r>
      <w:r>
        <w:rPr>
          <w:rFonts w:hint="eastAsia"/>
          <w:b/>
          <w:bCs/>
          <w:sz w:val="28"/>
          <w:szCs w:val="24"/>
        </w:rPr>
        <w:t>年</w:t>
      </w:r>
      <w:r>
        <w:rPr>
          <w:b/>
          <w:bCs/>
          <w:sz w:val="28"/>
          <w:szCs w:val="24"/>
        </w:rPr>
        <w:t>1</w:t>
      </w:r>
      <w:r>
        <w:rPr>
          <w:rFonts w:hint="eastAsia"/>
          <w:b/>
          <w:bCs/>
          <w:sz w:val="28"/>
          <w:szCs w:val="24"/>
        </w:rPr>
        <w:t xml:space="preserve">月 </w:t>
      </w:r>
      <w:r>
        <w:rPr>
          <w:b/>
          <w:bCs/>
          <w:sz w:val="28"/>
          <w:szCs w:val="28"/>
        </w:rPr>
        <w:t xml:space="preserve"> </w:t>
      </w:r>
    </w:p>
    <w:p w14:paraId="0B3FEBDD">
      <w:pPr>
        <w:pStyle w:val="2"/>
      </w:pPr>
      <w:r>
        <w:rPr>
          <w:rFonts w:hint="eastAsia"/>
        </w:rPr>
        <w:t>前言</w:t>
      </w:r>
    </w:p>
    <w:p w14:paraId="2E4824A0">
      <w:pPr>
        <w:rPr>
          <w:rFonts w:ascii="宋体" w:hAnsi="宋体"/>
        </w:rPr>
      </w:pPr>
      <w:r>
        <w:rPr>
          <w:rFonts w:hint="eastAsia" w:ascii="宋体" w:hAnsi="宋体"/>
        </w:rPr>
        <w:t>为建立健全我区噪声污染防治管理体系，进一步改善和提高声环境质量，依据《中华人民共和国噪声污染防治法》等有关法律、标准和规范要求，结合我区实际，制定本方案。</w:t>
      </w:r>
    </w:p>
    <w:p w14:paraId="20B1CF77">
      <w:pPr>
        <w:pStyle w:val="2"/>
      </w:pPr>
      <w:r>
        <w:rPr>
          <w:rFonts w:hint="eastAsia"/>
        </w:rPr>
        <w:t>适用范围</w:t>
      </w:r>
    </w:p>
    <w:p w14:paraId="6070CAB1">
      <w:pPr>
        <w:rPr>
          <w:rFonts w:ascii="宋体" w:hAnsi="宋体"/>
        </w:rPr>
      </w:pPr>
      <w:r>
        <w:rPr>
          <w:rFonts w:hint="eastAsia" w:ascii="宋体" w:hAnsi="宋体"/>
        </w:rPr>
        <w:t>本方案适用于福州市中心城区范围内的台江区辖区范围，四至范围为：东起江滨中大道东头九孔闸，沿光明港至晋安河中心线为界与晋安区一河之隔；西、南以闽江主航道中心线为界，与仓山区相望；北以琼东河、东西河、斗池路、上浦路中心线至金山大桥西侧桥下小岛北端至闽江航道中心线，与鼓楼区毗邻。总面积约17.09平方千米。</w:t>
      </w:r>
    </w:p>
    <w:p w14:paraId="621CC68F">
      <w:pPr>
        <w:pStyle w:val="2"/>
      </w:pPr>
      <w:r>
        <w:rPr>
          <w:rFonts w:hint="eastAsia"/>
        </w:rPr>
        <w:t>划分依据</w:t>
      </w:r>
    </w:p>
    <w:p w14:paraId="1ABEB629">
      <w:pPr>
        <w:pStyle w:val="23"/>
        <w:numPr>
          <w:ilvl w:val="0"/>
          <w:numId w:val="3"/>
        </w:numPr>
        <w:ind w:firstLineChars="0"/>
        <w:rPr>
          <w:rFonts w:ascii="宋体" w:hAnsi="宋体"/>
          <w:szCs w:val="24"/>
        </w:rPr>
      </w:pPr>
      <w:r>
        <w:rPr>
          <w:rFonts w:hint="eastAsia" w:ascii="宋体" w:hAnsi="宋体"/>
          <w:szCs w:val="24"/>
        </w:rPr>
        <w:t>《中华人民共和国噪声污染防治法》</w:t>
      </w:r>
    </w:p>
    <w:p w14:paraId="215F02BC">
      <w:pPr>
        <w:pStyle w:val="23"/>
        <w:numPr>
          <w:ilvl w:val="0"/>
          <w:numId w:val="3"/>
        </w:numPr>
        <w:ind w:firstLineChars="0"/>
        <w:rPr>
          <w:rFonts w:ascii="宋体" w:hAnsi="宋体"/>
          <w:szCs w:val="24"/>
        </w:rPr>
      </w:pPr>
      <w:r>
        <w:rPr>
          <w:rFonts w:hint="eastAsia" w:ascii="宋体" w:hAnsi="宋体"/>
          <w:szCs w:val="24"/>
        </w:rPr>
        <w:t>《“十四五”噪声污染防治行动计划》（环大气〔2023〕1号）</w:t>
      </w:r>
    </w:p>
    <w:p w14:paraId="54F8B6D8">
      <w:pPr>
        <w:pStyle w:val="23"/>
        <w:numPr>
          <w:ilvl w:val="0"/>
          <w:numId w:val="3"/>
        </w:numPr>
        <w:ind w:firstLineChars="0"/>
        <w:rPr>
          <w:rFonts w:ascii="宋体" w:hAnsi="宋体"/>
          <w:szCs w:val="24"/>
        </w:rPr>
      </w:pPr>
      <w:r>
        <w:rPr>
          <w:rFonts w:hint="eastAsia" w:ascii="宋体" w:hAnsi="宋体"/>
          <w:szCs w:val="24"/>
        </w:rPr>
        <w:t>《声环境质量标准》（GB</w:t>
      </w:r>
      <w:r>
        <w:rPr>
          <w:rFonts w:ascii="宋体" w:hAnsi="宋体"/>
          <w:szCs w:val="24"/>
        </w:rPr>
        <w:t xml:space="preserve"> 3096-2008</w:t>
      </w:r>
      <w:r>
        <w:rPr>
          <w:rFonts w:hint="eastAsia" w:ascii="宋体" w:hAnsi="宋体"/>
          <w:szCs w:val="24"/>
        </w:rPr>
        <w:t>）</w:t>
      </w:r>
    </w:p>
    <w:p w14:paraId="648B606C">
      <w:pPr>
        <w:pStyle w:val="23"/>
        <w:numPr>
          <w:ilvl w:val="0"/>
          <w:numId w:val="3"/>
        </w:numPr>
        <w:ind w:firstLineChars="0"/>
        <w:rPr>
          <w:rFonts w:ascii="宋体" w:hAnsi="宋体"/>
          <w:szCs w:val="24"/>
        </w:rPr>
      </w:pPr>
      <w:r>
        <w:rPr>
          <w:rFonts w:hint="eastAsia" w:ascii="宋体" w:hAnsi="宋体"/>
          <w:szCs w:val="24"/>
        </w:rPr>
        <w:t>《声环境功能区划分技术规范》（GB/T 15190</w:t>
      </w:r>
      <w:r>
        <w:rPr>
          <w:rFonts w:ascii="宋体" w:hAnsi="宋体"/>
          <w:szCs w:val="24"/>
        </w:rPr>
        <w:t>-2014</w:t>
      </w:r>
      <w:r>
        <w:rPr>
          <w:rFonts w:hint="eastAsia" w:ascii="宋体" w:hAnsi="宋体"/>
          <w:szCs w:val="24"/>
        </w:rPr>
        <w:t>）</w:t>
      </w:r>
    </w:p>
    <w:p w14:paraId="51FEF4E9">
      <w:pPr>
        <w:pStyle w:val="23"/>
        <w:numPr>
          <w:ilvl w:val="0"/>
          <w:numId w:val="3"/>
        </w:numPr>
        <w:ind w:firstLineChars="0"/>
        <w:rPr>
          <w:rFonts w:ascii="宋体" w:hAnsi="宋体"/>
          <w:szCs w:val="24"/>
        </w:rPr>
      </w:pPr>
      <w:r>
        <w:rPr>
          <w:rFonts w:hint="eastAsia" w:ascii="宋体" w:hAnsi="宋体"/>
          <w:szCs w:val="24"/>
        </w:rPr>
        <w:t>《第三次全国国土调查技术规程》（TD/T 1055</w:t>
      </w:r>
      <w:r>
        <w:rPr>
          <w:rFonts w:ascii="宋体" w:hAnsi="宋体"/>
          <w:szCs w:val="24"/>
        </w:rPr>
        <w:t>-2019</w:t>
      </w:r>
      <w:r>
        <w:rPr>
          <w:rFonts w:hint="eastAsia" w:ascii="宋体" w:hAnsi="宋体"/>
          <w:szCs w:val="24"/>
        </w:rPr>
        <w:t>）</w:t>
      </w:r>
    </w:p>
    <w:p w14:paraId="3D067B24">
      <w:pPr>
        <w:pStyle w:val="23"/>
        <w:numPr>
          <w:ilvl w:val="0"/>
          <w:numId w:val="3"/>
        </w:numPr>
        <w:ind w:firstLineChars="0"/>
        <w:rPr>
          <w:rFonts w:ascii="宋体" w:hAnsi="宋体"/>
          <w:szCs w:val="24"/>
        </w:rPr>
      </w:pPr>
      <w:r>
        <w:rPr>
          <w:rFonts w:hint="eastAsia" w:ascii="宋体" w:hAnsi="宋体"/>
          <w:szCs w:val="24"/>
        </w:rPr>
        <w:t>《土地利用现状分类》（GB/T 21010</w:t>
      </w:r>
      <w:r>
        <w:rPr>
          <w:rFonts w:ascii="宋体" w:hAnsi="宋体"/>
          <w:szCs w:val="24"/>
        </w:rPr>
        <w:t>-2017</w:t>
      </w:r>
      <w:r>
        <w:rPr>
          <w:rFonts w:hint="eastAsia" w:ascii="宋体" w:hAnsi="宋体"/>
          <w:szCs w:val="24"/>
        </w:rPr>
        <w:t>）</w:t>
      </w:r>
    </w:p>
    <w:p w14:paraId="3CAEEE84">
      <w:pPr>
        <w:pStyle w:val="23"/>
        <w:numPr>
          <w:ilvl w:val="0"/>
          <w:numId w:val="3"/>
        </w:numPr>
        <w:ind w:firstLineChars="0"/>
        <w:rPr>
          <w:rFonts w:ascii="宋体" w:hAnsi="宋体"/>
          <w:szCs w:val="24"/>
        </w:rPr>
      </w:pPr>
      <w:r>
        <w:rPr>
          <w:rFonts w:hint="eastAsia" w:ascii="宋体" w:hAnsi="宋体"/>
          <w:szCs w:val="24"/>
        </w:rPr>
        <w:t>《福州市噪声敏感建筑物集中区域划定工作指南（试行）》</w:t>
      </w:r>
    </w:p>
    <w:p w14:paraId="5DDC3323">
      <w:pPr>
        <w:pStyle w:val="2"/>
      </w:pPr>
      <w:r>
        <w:rPr>
          <w:rFonts w:hint="eastAsia"/>
        </w:rPr>
        <w:t>划分原则</w:t>
      </w:r>
    </w:p>
    <w:p w14:paraId="63A2A04D">
      <w:pPr>
        <w:rPr>
          <w:rFonts w:ascii="宋体" w:hAnsi="宋体"/>
        </w:rPr>
      </w:pPr>
      <w:r>
        <w:rPr>
          <w:rFonts w:hint="eastAsia" w:ascii="宋体" w:hAnsi="宋体"/>
        </w:rPr>
        <w:t>按照《中华人民共和国噪声污染防治法》第十四条的规定，噪声敏感区域是指用于居住、科学研究、医疗卫生、文化教育、机关团体办公、社会福利等建筑物为主的区域。本报告划分原则如下：</w:t>
      </w:r>
    </w:p>
    <w:p w14:paraId="70EC9AF6">
      <w:pPr>
        <w:rPr>
          <w:rFonts w:ascii="宋体" w:hAnsi="宋体"/>
        </w:rPr>
      </w:pPr>
      <w:r>
        <w:rPr>
          <w:rFonts w:hint="eastAsia" w:ascii="宋体" w:hAnsi="宋体"/>
        </w:rPr>
        <w:t>（1）现状优先。以用地、建筑物分类和分布现状为优先依据，结合国土空间规划和年度国土调查成果等确定噪声敏感建筑物集中区域。</w:t>
      </w:r>
    </w:p>
    <w:p w14:paraId="4001CC46">
      <w:pPr>
        <w:rPr>
          <w:rFonts w:ascii="宋体" w:hAnsi="宋体"/>
        </w:rPr>
      </w:pPr>
      <w:r>
        <w:rPr>
          <w:rFonts w:hint="eastAsia" w:ascii="宋体" w:hAnsi="宋体"/>
        </w:rPr>
        <w:t>（2）边界清晰。充分利用行政区边界、交通线路、地形边界等划分噪声敏感建筑物集中区域边界。</w:t>
      </w:r>
    </w:p>
    <w:p w14:paraId="20066B7A">
      <w:pPr>
        <w:rPr>
          <w:rFonts w:ascii="宋体" w:hAnsi="宋体"/>
        </w:rPr>
      </w:pPr>
      <w:r>
        <w:rPr>
          <w:rFonts w:hint="eastAsia" w:ascii="宋体" w:hAnsi="宋体"/>
        </w:rPr>
        <w:t>（3）便于管理。噪声敏感建筑物集中区域划定应</w:t>
      </w:r>
      <w:bookmarkStart w:id="0" w:name="_Hlk188433321"/>
      <w:bookmarkStart w:id="1" w:name="_Hlk188435079"/>
      <w:r>
        <w:rPr>
          <w:rFonts w:hint="eastAsia" w:ascii="宋体" w:hAnsi="宋体"/>
        </w:rPr>
        <w:t>便于城市噪声污染防治管理</w:t>
      </w:r>
      <w:bookmarkEnd w:id="0"/>
      <w:r>
        <w:rPr>
          <w:rFonts w:hint="eastAsia" w:ascii="宋体" w:hAnsi="宋体"/>
        </w:rPr>
        <w:t>。</w:t>
      </w:r>
    </w:p>
    <w:bookmarkEnd w:id="1"/>
    <w:p w14:paraId="3155FD30">
      <w:pPr>
        <w:rPr>
          <w:rFonts w:ascii="宋体" w:hAnsi="宋体"/>
        </w:rPr>
      </w:pPr>
      <w:r>
        <w:rPr>
          <w:rFonts w:hint="eastAsia" w:ascii="宋体" w:hAnsi="宋体"/>
        </w:rPr>
        <w:t>（4）适时调整。根据区域城建开发、建筑物实际使用功能调整等情况，适时进行噪声敏感建筑物集中区域调整。</w:t>
      </w:r>
    </w:p>
    <w:p w14:paraId="4ADEFA6C">
      <w:pPr>
        <w:pStyle w:val="2"/>
      </w:pPr>
      <w:r>
        <w:rPr>
          <w:rFonts w:hint="eastAsia"/>
        </w:rPr>
        <w:t>划分结果</w:t>
      </w:r>
    </w:p>
    <w:p w14:paraId="30CEA170">
      <w:r>
        <w:rPr>
          <w:rFonts w:hint="eastAsia"/>
        </w:rPr>
        <w:t>按照《福州市噪声敏感建筑物集中区域划</w:t>
      </w:r>
      <w:bookmarkStart w:id="2" w:name="OLE_LINK1"/>
      <w:r>
        <w:rPr>
          <w:rFonts w:hint="eastAsia"/>
        </w:rPr>
        <w:t>定工作指南</w:t>
      </w:r>
      <w:bookmarkEnd w:id="2"/>
      <w:r>
        <w:rPr>
          <w:rFonts w:hint="eastAsia"/>
        </w:rPr>
        <w:t>（试行）》，福州市台江区共划定噪声敏感建筑物集中区域</w:t>
      </w:r>
      <w:r>
        <w:t>13</w:t>
      </w:r>
      <w:r>
        <w:rPr>
          <w:rFonts w:hint="eastAsia"/>
        </w:rPr>
        <w:t>个，划定总面积合计约</w:t>
      </w:r>
      <w:r>
        <w:t>11.5792</w:t>
      </w:r>
      <w:r>
        <w:rPr>
          <w:rFonts w:hint="eastAsia"/>
        </w:rPr>
        <w:t>km</w:t>
      </w:r>
      <w:r>
        <w:rPr>
          <w:rFonts w:hint="eastAsia"/>
          <w:vertAlign w:val="superscript"/>
        </w:rPr>
        <w:t>2</w:t>
      </w:r>
      <w:r>
        <w:rPr>
          <w:rFonts w:hint="eastAsia"/>
        </w:rPr>
        <w:t>，噪声敏感建筑物集中区域划定结果见附表、附图。</w:t>
      </w:r>
    </w:p>
    <w:p w14:paraId="2FC1AEA8">
      <w:pPr>
        <w:pStyle w:val="2"/>
      </w:pPr>
      <w:r>
        <w:rPr>
          <w:rFonts w:hint="eastAsia"/>
        </w:rPr>
        <w:t>划分说明</w:t>
      </w:r>
    </w:p>
    <w:p w14:paraId="58AAAEF1">
      <w:pPr>
        <w:rPr>
          <w:rFonts w:ascii="宋体" w:hAnsi="宋体"/>
        </w:rPr>
      </w:pPr>
      <w:r>
        <w:rPr>
          <w:rFonts w:hint="eastAsia" w:ascii="宋体" w:hAnsi="宋体"/>
        </w:rPr>
        <w:t>根据《福州市噪声敏感建筑物集中区域划定工作指南（试行）》，以下对划定方案中的特殊情况进行说明。</w:t>
      </w:r>
    </w:p>
    <w:p w14:paraId="688749EB">
      <w:pPr>
        <w:ind w:firstLine="482"/>
        <w:rPr>
          <w:rFonts w:ascii="宋体" w:hAnsi="宋体"/>
          <w:b/>
          <w:bCs/>
        </w:rPr>
      </w:pPr>
      <w:r>
        <w:rPr>
          <w:rFonts w:hint="eastAsia" w:ascii="宋体" w:hAnsi="宋体"/>
          <w:b/>
          <w:bCs/>
        </w:rPr>
        <w:t>（1）以现状为准确定噪声敏感建筑物集中区域</w:t>
      </w:r>
    </w:p>
    <w:p w14:paraId="292BAD11">
      <w:pPr>
        <w:rPr>
          <w:rFonts w:cs="Times New Roman"/>
          <w:highlight w:val="yellow"/>
        </w:rPr>
      </w:pPr>
      <w:r>
        <w:rPr>
          <w:rFonts w:cs="Times New Roman"/>
        </w:rPr>
        <w:t>部分区域用地性质与现状实际建筑物性质不符，经调查确定为噪声敏感建筑物物的，划分为噪声敏感建筑物集中区域。如JZQ002内万科金域中央、国贸天琴湾地块现状为住宅楼，将其划入噪声敏感建筑物集中区域内；JZQ006上下杭文化休闲旅游景区内有较多居民居住，将其将其划入噪声敏感建筑物集中区域内；JZQ013地块内建筑物以办公、居住为主，将其划分为噪声敏感建筑物集中区域。</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8"/>
        <w:gridCol w:w="4048"/>
      </w:tblGrid>
      <w:tr w14:paraId="75CE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Mar>
              <w:left w:w="0" w:type="dxa"/>
              <w:right w:w="0" w:type="dxa"/>
            </w:tcMar>
            <w:vAlign w:val="center"/>
          </w:tcPr>
          <w:p w14:paraId="0B9B1FD9">
            <w:pPr>
              <w:spacing w:line="240" w:lineRule="auto"/>
              <w:ind w:firstLine="0" w:firstLineChars="0"/>
              <w:jc w:val="center"/>
              <w:rPr>
                <w:rFonts w:cs="Times New Roman"/>
                <w:sz w:val="21"/>
                <w:szCs w:val="21"/>
                <w:highlight w:val="yellow"/>
              </w:rPr>
            </w:pPr>
            <w:r>
              <w:rPr>
                <w:rFonts w:cs="Times New Roman"/>
              </w:rPr>
              <w:drawing>
                <wp:inline distT="0" distB="0" distL="0" distR="0">
                  <wp:extent cx="2528570" cy="1979295"/>
                  <wp:effectExtent l="0" t="0" r="508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t="3307" b="6664"/>
                          <a:stretch>
                            <a:fillRect/>
                          </a:stretch>
                        </pic:blipFill>
                        <pic:spPr>
                          <a:xfrm>
                            <a:off x="0" y="0"/>
                            <a:ext cx="2555567" cy="2000217"/>
                          </a:xfrm>
                          <a:prstGeom prst="rect">
                            <a:avLst/>
                          </a:prstGeom>
                          <a:ln>
                            <a:noFill/>
                          </a:ln>
                        </pic:spPr>
                      </pic:pic>
                    </a:graphicData>
                  </a:graphic>
                </wp:inline>
              </w:drawing>
            </w:r>
          </w:p>
        </w:tc>
        <w:tc>
          <w:tcPr>
            <w:tcW w:w="4048" w:type="dxa"/>
            <w:tcMar>
              <w:left w:w="0" w:type="dxa"/>
              <w:right w:w="0" w:type="dxa"/>
            </w:tcMar>
            <w:vAlign w:val="center"/>
          </w:tcPr>
          <w:p w14:paraId="592183EC">
            <w:pPr>
              <w:spacing w:line="240" w:lineRule="auto"/>
              <w:ind w:firstLine="0" w:firstLineChars="0"/>
              <w:jc w:val="center"/>
              <w:rPr>
                <w:rFonts w:cs="Times New Roman"/>
                <w:sz w:val="21"/>
                <w:szCs w:val="21"/>
                <w:highlight w:val="yellow"/>
              </w:rPr>
            </w:pPr>
            <w:r>
              <w:rPr>
                <w:rFonts w:cs="Times New Roman"/>
              </w:rPr>
              <w:drawing>
                <wp:inline distT="0" distB="0" distL="0" distR="0">
                  <wp:extent cx="2379980" cy="196659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rcRect t="7363" r="5958" b="1974"/>
                          <a:stretch>
                            <a:fillRect/>
                          </a:stretch>
                        </pic:blipFill>
                        <pic:spPr>
                          <a:xfrm>
                            <a:off x="0" y="0"/>
                            <a:ext cx="2382202" cy="1968142"/>
                          </a:xfrm>
                          <a:prstGeom prst="rect">
                            <a:avLst/>
                          </a:prstGeom>
                          <a:ln>
                            <a:noFill/>
                          </a:ln>
                        </pic:spPr>
                      </pic:pic>
                    </a:graphicData>
                  </a:graphic>
                </wp:inline>
              </w:drawing>
            </w:r>
          </w:p>
        </w:tc>
      </w:tr>
      <w:tr w14:paraId="50E7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248" w:type="dxa"/>
            <w:tcMar>
              <w:left w:w="0" w:type="dxa"/>
              <w:right w:w="0" w:type="dxa"/>
            </w:tcMar>
            <w:vAlign w:val="center"/>
          </w:tcPr>
          <w:p w14:paraId="1DBA4254">
            <w:pPr>
              <w:spacing w:line="240" w:lineRule="auto"/>
              <w:ind w:firstLine="0" w:firstLineChars="0"/>
              <w:jc w:val="center"/>
              <w:rPr>
                <w:rFonts w:cs="Times New Roman"/>
                <w:sz w:val="21"/>
                <w:szCs w:val="21"/>
              </w:rPr>
            </w:pPr>
            <w:r>
              <w:rPr>
                <w:rFonts w:hint="eastAsia" w:cs="Times New Roman"/>
                <w:sz w:val="21"/>
                <w:szCs w:val="21"/>
              </w:rPr>
              <w:t>万科金域中央、国贸天琴湾地块现状为住宅楼，将其划入噪声敏感建筑物集中区域。</w:t>
            </w:r>
          </w:p>
        </w:tc>
        <w:tc>
          <w:tcPr>
            <w:tcW w:w="4048" w:type="dxa"/>
            <w:tcMar>
              <w:left w:w="0" w:type="dxa"/>
              <w:right w:w="0" w:type="dxa"/>
            </w:tcMar>
            <w:vAlign w:val="center"/>
          </w:tcPr>
          <w:p w14:paraId="0D8F6377">
            <w:pPr>
              <w:spacing w:line="240" w:lineRule="auto"/>
              <w:ind w:firstLine="0" w:firstLineChars="0"/>
              <w:jc w:val="center"/>
              <w:rPr>
                <w:rFonts w:cs="Times New Roman"/>
                <w:sz w:val="21"/>
                <w:szCs w:val="21"/>
              </w:rPr>
            </w:pPr>
            <w:r>
              <w:rPr>
                <w:rFonts w:hint="eastAsia" w:cs="Times New Roman"/>
                <w:sz w:val="21"/>
                <w:szCs w:val="21"/>
              </w:rPr>
              <w:t>JZQ013地块内建筑物以办公、居住为主，将其划分为噪声敏感建筑物集中区域。</w:t>
            </w:r>
          </w:p>
        </w:tc>
      </w:tr>
    </w:tbl>
    <w:p w14:paraId="5615CBA6">
      <w:pPr>
        <w:spacing w:before="156" w:beforeLines="50"/>
        <w:ind w:firstLine="482"/>
        <w:rPr>
          <w:rFonts w:ascii="宋体" w:hAnsi="宋体"/>
          <w:b/>
          <w:bCs/>
          <w:highlight w:val="yellow"/>
        </w:rPr>
      </w:pPr>
      <w:r>
        <w:rPr>
          <w:rFonts w:hint="eastAsia" w:ascii="宋体" w:hAnsi="宋体"/>
          <w:b/>
          <w:bCs/>
        </w:rPr>
        <w:t>（</w:t>
      </w:r>
      <w:r>
        <w:rPr>
          <w:rFonts w:ascii="宋体" w:hAnsi="宋体"/>
          <w:b/>
          <w:bCs/>
        </w:rPr>
        <w:t>2</w:t>
      </w:r>
      <w:r>
        <w:rPr>
          <w:rFonts w:hint="eastAsia" w:ascii="宋体" w:hAnsi="宋体"/>
          <w:b/>
          <w:bCs/>
        </w:rPr>
        <w:t>）跨主干道划定噪声敏感建筑物集中区域，便于噪声污染防治管理</w:t>
      </w:r>
    </w:p>
    <w:p w14:paraId="1AF5B6BA">
      <w:pPr>
        <w:rPr>
          <w:highlight w:val="yellow"/>
        </w:rPr>
      </w:pPr>
      <w:r>
        <w:rPr>
          <w:rFonts w:hint="eastAsia"/>
        </w:rPr>
        <w:t>台江区主要以居住、商业办公为主，噪声敏感建筑物较为集中、连片，在划定噪声敏感建筑物集中区域时，适当合并相邻的单元（原则上不跨越快速路、结构性主干道），以便于城市噪声污染防治管理。这类情况主要有JZQ</w:t>
      </w:r>
      <w:r>
        <w:t>005</w:t>
      </w:r>
      <w:r>
        <w:rPr>
          <w:rFonts w:hint="eastAsia"/>
        </w:rPr>
        <w:t>、JZQ</w:t>
      </w:r>
      <w:r>
        <w:t>006</w:t>
      </w:r>
      <w:r>
        <w:rPr>
          <w:rFonts w:hint="eastAsia"/>
        </w:rPr>
        <w:t>、JZQ</w:t>
      </w:r>
      <w:r>
        <w:t>008</w:t>
      </w:r>
      <w:r>
        <w:rPr>
          <w:rFonts w:hint="eastAsia"/>
        </w:rPr>
        <w:t>、JZQ</w:t>
      </w:r>
      <w:r>
        <w:t>009</w:t>
      </w:r>
      <w:r>
        <w:rPr>
          <w:rFonts w:hint="eastAsia"/>
        </w:rPr>
        <w:t>、JZQ</w:t>
      </w:r>
      <w:r>
        <w:t>011</w:t>
      </w:r>
      <w:r>
        <w:rPr>
          <w:rFonts w:hint="eastAsia"/>
        </w:rPr>
        <w:t>和JZQ</w:t>
      </w:r>
      <w:r>
        <w:t>012</w:t>
      </w:r>
      <w:r>
        <w:rPr>
          <w:rFonts w:hint="eastAsia"/>
        </w:rPr>
        <w:t>。</w:t>
      </w:r>
    </w:p>
    <w:p w14:paraId="3439DA41">
      <w:pPr>
        <w:pStyle w:val="2"/>
      </w:pPr>
      <w:r>
        <w:rPr>
          <w:rFonts w:hint="eastAsia"/>
        </w:rPr>
        <w:t>管理规定</w:t>
      </w:r>
    </w:p>
    <w:p w14:paraId="26408945">
      <w:r>
        <w:rPr>
          <w:rFonts w:hint="eastAsia"/>
        </w:rPr>
        <w:t>（1）噪声敏感建筑物集中区域的管理按照《中华人民共和国噪声污染防治法》第十四条、第三十五条、第四十一条、第四十二条、第四十三条、第四十五条、第四十六条、第六十四条、第七十条、第七十四条、第七十七条、第七十八条、第八十二条、第八十八条的规定执行。</w:t>
      </w:r>
    </w:p>
    <w:p w14:paraId="14DEF622">
      <w:r>
        <w:rPr>
          <w:rFonts w:hint="eastAsia"/>
        </w:rPr>
        <w:t>（2）噪声敏感建筑物集中区域的噪声污染防治职责分工按照《福州市人民政府办公厅关于进一步明确〈中华人民共和国噪声污染防治法〉部分条款部门职责分工的通知》执行。</w:t>
      </w:r>
    </w:p>
    <w:p w14:paraId="48953691">
      <w:r>
        <w:rPr>
          <w:rFonts w:hint="eastAsia"/>
        </w:rPr>
        <w:t>（3）若因建筑物属性、用地性质或规划发生根本变化，可实施动态修编，原则上不超过5年调整一次，调整程序参照划分方法执行。</w:t>
      </w:r>
    </w:p>
    <w:p w14:paraId="3790143D">
      <w:r>
        <w:rPr>
          <w:rFonts w:hint="eastAsia"/>
        </w:rPr>
        <w:t>（4）本方案未尽事宜，根据有关法律法规和规章等相关规定执行。</w:t>
      </w:r>
    </w:p>
    <w:p w14:paraId="127D60A1"/>
    <w:p w14:paraId="180FF053">
      <w:pPr>
        <w:ind w:firstLine="0" w:firstLineChars="0"/>
        <w:sectPr>
          <w:footerReference r:id="rId8" w:type="default"/>
          <w:pgSz w:w="11906" w:h="16838"/>
          <w:pgMar w:top="1440" w:right="1800" w:bottom="1440" w:left="1800" w:header="851" w:footer="992" w:gutter="0"/>
          <w:cols w:space="425" w:num="1"/>
          <w:docGrid w:type="lines" w:linePitch="312" w:charSpace="0"/>
        </w:sectPr>
      </w:pPr>
    </w:p>
    <w:p w14:paraId="16D0C33E">
      <w:pPr>
        <w:pStyle w:val="2"/>
      </w:pPr>
      <w:r>
        <w:rPr>
          <w:rFonts w:hint="eastAsia"/>
        </w:rPr>
        <w:t>附表</w:t>
      </w:r>
    </w:p>
    <w:p w14:paraId="61DED885">
      <w:pPr>
        <w:ind w:firstLine="0" w:firstLineChars="0"/>
        <w:jc w:val="center"/>
        <w:rPr>
          <w:b/>
          <w:bCs/>
        </w:rPr>
      </w:pPr>
      <w:r>
        <w:rPr>
          <w:rFonts w:hint="eastAsia"/>
          <w:b/>
          <w:bCs/>
        </w:rPr>
        <w:t xml:space="preserve">附表1 </w:t>
      </w:r>
      <w:r>
        <w:rPr>
          <w:b/>
          <w:bCs/>
        </w:rPr>
        <w:t xml:space="preserve"> </w:t>
      </w:r>
      <w:r>
        <w:rPr>
          <w:rFonts w:hint="eastAsia"/>
          <w:b/>
          <w:bCs/>
        </w:rPr>
        <w:t>福州市台江区噪声敏感建筑物集中区域划定成果统计表</w:t>
      </w:r>
    </w:p>
    <w:tbl>
      <w:tblPr>
        <w:tblStyle w:val="17"/>
        <w:tblW w:w="14558" w:type="dxa"/>
        <w:tblInd w:w="0" w:type="dxa"/>
        <w:tblLayout w:type="autofit"/>
        <w:tblCellMar>
          <w:top w:w="0" w:type="dxa"/>
          <w:left w:w="108" w:type="dxa"/>
          <w:bottom w:w="0" w:type="dxa"/>
          <w:right w:w="108" w:type="dxa"/>
        </w:tblCellMar>
      </w:tblPr>
      <w:tblGrid>
        <w:gridCol w:w="1413"/>
        <w:gridCol w:w="3121"/>
        <w:gridCol w:w="8512"/>
        <w:gridCol w:w="1512"/>
      </w:tblGrid>
      <w:tr w14:paraId="2DD96EC2">
        <w:tblPrEx>
          <w:tblCellMar>
            <w:top w:w="0" w:type="dxa"/>
            <w:left w:w="108" w:type="dxa"/>
            <w:bottom w:w="0" w:type="dxa"/>
            <w:right w:w="108" w:type="dxa"/>
          </w:tblCellMar>
        </w:tblPrEx>
        <w:trPr>
          <w:trHeight w:val="643" w:hRule="atLeast"/>
        </w:trPr>
        <w:tc>
          <w:tcPr>
            <w:tcW w:w="1413" w:type="dxa"/>
            <w:tcBorders>
              <w:top w:val="single" w:color="auto" w:sz="4" w:space="0"/>
              <w:left w:val="single" w:color="auto" w:sz="4" w:space="0"/>
              <w:bottom w:val="single" w:color="auto" w:sz="4" w:space="0"/>
              <w:right w:val="single" w:color="auto" w:sz="4" w:space="0"/>
            </w:tcBorders>
            <w:shd w:val="clear" w:color="auto" w:fill="auto"/>
            <w:tcMar>
              <w:left w:w="51" w:type="dxa"/>
              <w:right w:w="51" w:type="dxa"/>
            </w:tcMar>
            <w:vAlign w:val="center"/>
          </w:tcPr>
          <w:p w14:paraId="3D254C98">
            <w:pPr>
              <w:widowControl/>
              <w:spacing w:line="240" w:lineRule="auto"/>
              <w:ind w:firstLine="0" w:firstLineChars="0"/>
              <w:jc w:val="center"/>
              <w:rPr>
                <w:rFonts w:eastAsia="等线" w:cs="Times New Roman"/>
                <w:b/>
                <w:bCs/>
                <w:kern w:val="0"/>
                <w:sz w:val="21"/>
                <w:szCs w:val="21"/>
              </w:rPr>
            </w:pPr>
            <w:r>
              <w:rPr>
                <w:rFonts w:hint="eastAsia" w:ascii="宋体" w:hAnsi="宋体" w:cs="Times New Roman"/>
                <w:b/>
                <w:bCs/>
                <w:kern w:val="0"/>
                <w:sz w:val="21"/>
                <w:szCs w:val="21"/>
              </w:rPr>
              <w:t>集中区域编号</w:t>
            </w:r>
          </w:p>
        </w:tc>
        <w:tc>
          <w:tcPr>
            <w:tcW w:w="3121" w:type="dxa"/>
            <w:tcBorders>
              <w:top w:val="single" w:color="auto" w:sz="4" w:space="0"/>
              <w:left w:val="nil"/>
              <w:bottom w:val="single" w:color="auto" w:sz="4" w:space="0"/>
              <w:right w:val="single" w:color="auto" w:sz="4" w:space="0"/>
            </w:tcBorders>
            <w:shd w:val="clear" w:color="auto" w:fill="auto"/>
            <w:tcMar>
              <w:left w:w="51" w:type="dxa"/>
              <w:right w:w="51" w:type="dxa"/>
            </w:tcMar>
            <w:vAlign w:val="center"/>
          </w:tcPr>
          <w:p w14:paraId="5AF83ABC">
            <w:pPr>
              <w:widowControl/>
              <w:spacing w:line="240" w:lineRule="auto"/>
              <w:ind w:firstLine="0" w:firstLineChars="0"/>
              <w:jc w:val="center"/>
              <w:rPr>
                <w:rFonts w:eastAsia="等线" w:cs="Times New Roman"/>
                <w:b/>
                <w:bCs/>
                <w:kern w:val="0"/>
                <w:sz w:val="21"/>
                <w:szCs w:val="21"/>
              </w:rPr>
            </w:pPr>
            <w:r>
              <w:rPr>
                <w:rFonts w:hint="eastAsia" w:ascii="宋体" w:hAnsi="宋体" w:cs="Times New Roman"/>
                <w:b/>
                <w:bCs/>
                <w:kern w:val="0"/>
                <w:sz w:val="21"/>
                <w:szCs w:val="21"/>
              </w:rPr>
              <w:t>集中区域名称</w:t>
            </w:r>
          </w:p>
        </w:tc>
        <w:tc>
          <w:tcPr>
            <w:tcW w:w="8512" w:type="dxa"/>
            <w:tcBorders>
              <w:top w:val="single" w:color="auto" w:sz="4" w:space="0"/>
              <w:left w:val="nil"/>
              <w:bottom w:val="single" w:color="auto" w:sz="4" w:space="0"/>
              <w:right w:val="single" w:color="auto" w:sz="4" w:space="0"/>
            </w:tcBorders>
            <w:shd w:val="clear" w:color="auto" w:fill="auto"/>
            <w:tcMar>
              <w:left w:w="51" w:type="dxa"/>
              <w:right w:w="51" w:type="dxa"/>
            </w:tcMar>
            <w:vAlign w:val="center"/>
          </w:tcPr>
          <w:p w14:paraId="7FF21E20">
            <w:pPr>
              <w:widowControl/>
              <w:spacing w:line="240" w:lineRule="auto"/>
              <w:ind w:firstLine="0" w:firstLineChars="0"/>
              <w:jc w:val="center"/>
              <w:rPr>
                <w:rFonts w:eastAsia="等线" w:cs="Times New Roman"/>
                <w:b/>
                <w:bCs/>
                <w:kern w:val="0"/>
                <w:sz w:val="21"/>
                <w:szCs w:val="21"/>
              </w:rPr>
            </w:pPr>
            <w:r>
              <w:rPr>
                <w:rFonts w:hint="eastAsia" w:ascii="宋体" w:hAnsi="宋体" w:cs="Times New Roman"/>
                <w:b/>
                <w:bCs/>
                <w:kern w:val="0"/>
                <w:sz w:val="21"/>
                <w:szCs w:val="21"/>
              </w:rPr>
              <w:t>集中区域边界</w:t>
            </w:r>
          </w:p>
        </w:tc>
        <w:tc>
          <w:tcPr>
            <w:tcW w:w="1512" w:type="dxa"/>
            <w:tcBorders>
              <w:top w:val="single" w:color="auto" w:sz="4" w:space="0"/>
              <w:left w:val="nil"/>
              <w:bottom w:val="single" w:color="auto" w:sz="4" w:space="0"/>
              <w:right w:val="single" w:color="auto" w:sz="4" w:space="0"/>
            </w:tcBorders>
            <w:shd w:val="clear" w:color="auto" w:fill="auto"/>
            <w:tcMar>
              <w:left w:w="51" w:type="dxa"/>
              <w:right w:w="51" w:type="dxa"/>
            </w:tcMar>
            <w:vAlign w:val="center"/>
          </w:tcPr>
          <w:p w14:paraId="067ABE0B">
            <w:pPr>
              <w:widowControl/>
              <w:spacing w:line="240" w:lineRule="auto"/>
              <w:ind w:firstLine="0" w:firstLineChars="0"/>
              <w:jc w:val="center"/>
              <w:rPr>
                <w:rFonts w:eastAsia="等线" w:cs="Times New Roman"/>
                <w:b/>
                <w:bCs/>
                <w:kern w:val="0"/>
                <w:sz w:val="21"/>
                <w:szCs w:val="21"/>
              </w:rPr>
            </w:pPr>
            <w:r>
              <w:rPr>
                <w:rFonts w:hint="eastAsia" w:ascii="宋体" w:hAnsi="宋体" w:cs="Times New Roman"/>
                <w:b/>
                <w:bCs/>
                <w:kern w:val="0"/>
                <w:sz w:val="21"/>
                <w:szCs w:val="21"/>
              </w:rPr>
              <w:t>集中区域面积</w:t>
            </w:r>
            <w:r>
              <w:rPr>
                <w:rFonts w:hint="eastAsia" w:ascii="宋体" w:hAnsi="宋体" w:cs="Times New Roman"/>
                <w:b/>
                <w:bCs/>
                <w:kern w:val="0"/>
                <w:sz w:val="21"/>
                <w:szCs w:val="21"/>
              </w:rPr>
              <w:br w:type="textWrapping"/>
            </w:r>
            <w:r>
              <w:rPr>
                <w:rFonts w:hint="eastAsia" w:ascii="宋体" w:hAnsi="宋体" w:cs="Times New Roman"/>
                <w:b/>
                <w:bCs/>
                <w:kern w:val="0"/>
                <w:sz w:val="21"/>
                <w:szCs w:val="21"/>
              </w:rPr>
              <w:t>（</w:t>
            </w:r>
            <w:r>
              <w:rPr>
                <w:rFonts w:eastAsia="等线" w:cs="Times New Roman"/>
                <w:b/>
                <w:bCs/>
                <w:kern w:val="0"/>
                <w:sz w:val="21"/>
                <w:szCs w:val="21"/>
              </w:rPr>
              <w:t>km</w:t>
            </w:r>
            <w:r>
              <w:rPr>
                <w:rFonts w:eastAsia="等线" w:cs="Times New Roman"/>
                <w:b/>
                <w:bCs/>
                <w:kern w:val="0"/>
                <w:sz w:val="21"/>
                <w:szCs w:val="21"/>
                <w:vertAlign w:val="superscript"/>
              </w:rPr>
              <w:t>2</w:t>
            </w:r>
            <w:r>
              <w:rPr>
                <w:rFonts w:hint="eastAsia" w:ascii="宋体" w:hAnsi="宋体" w:cs="Times New Roman"/>
                <w:b/>
                <w:bCs/>
                <w:kern w:val="0"/>
                <w:sz w:val="21"/>
                <w:szCs w:val="21"/>
              </w:rPr>
              <w:t>）</w:t>
            </w:r>
          </w:p>
        </w:tc>
      </w:tr>
      <w:tr w14:paraId="407184F0">
        <w:tblPrEx>
          <w:tblCellMar>
            <w:top w:w="0" w:type="dxa"/>
            <w:left w:w="108" w:type="dxa"/>
            <w:bottom w:w="0" w:type="dxa"/>
            <w:right w:w="108" w:type="dxa"/>
          </w:tblCellMar>
        </w:tblPrEx>
        <w:trPr>
          <w:trHeight w:val="456" w:hRule="atLeast"/>
        </w:trPr>
        <w:tc>
          <w:tcPr>
            <w:tcW w:w="1413" w:type="dxa"/>
            <w:tcBorders>
              <w:top w:val="nil"/>
              <w:left w:val="single" w:color="auto" w:sz="4" w:space="0"/>
              <w:bottom w:val="single" w:color="auto" w:sz="4" w:space="0"/>
              <w:right w:val="single" w:color="auto" w:sz="4" w:space="0"/>
            </w:tcBorders>
            <w:shd w:val="clear" w:color="auto" w:fill="auto"/>
            <w:noWrap/>
            <w:tcMar>
              <w:left w:w="51" w:type="dxa"/>
              <w:right w:w="51" w:type="dxa"/>
            </w:tcMar>
            <w:vAlign w:val="center"/>
          </w:tcPr>
          <w:p w14:paraId="097ADC40">
            <w:pPr>
              <w:widowControl/>
              <w:spacing w:line="240" w:lineRule="auto"/>
              <w:ind w:firstLine="0" w:firstLineChars="0"/>
              <w:jc w:val="center"/>
              <w:rPr>
                <w:rFonts w:eastAsia="等线" w:cs="Times New Roman"/>
                <w:kern w:val="0"/>
                <w:sz w:val="22"/>
              </w:rPr>
            </w:pPr>
            <w:r>
              <w:rPr>
                <w:rFonts w:eastAsia="等线" w:cs="Times New Roman"/>
                <w:kern w:val="0"/>
                <w:sz w:val="22"/>
              </w:rPr>
              <w:t>JZQ001</w:t>
            </w:r>
          </w:p>
        </w:tc>
        <w:tc>
          <w:tcPr>
            <w:tcW w:w="3121" w:type="dxa"/>
            <w:tcBorders>
              <w:top w:val="nil"/>
              <w:left w:val="nil"/>
              <w:bottom w:val="single" w:color="auto" w:sz="4" w:space="0"/>
              <w:right w:val="single" w:color="auto" w:sz="4" w:space="0"/>
            </w:tcBorders>
            <w:shd w:val="clear" w:color="auto" w:fill="auto"/>
            <w:tcMar>
              <w:left w:w="51" w:type="dxa"/>
              <w:right w:w="51" w:type="dxa"/>
            </w:tcMar>
            <w:vAlign w:val="center"/>
          </w:tcPr>
          <w:p w14:paraId="49603993">
            <w:pPr>
              <w:widowControl/>
              <w:spacing w:line="240" w:lineRule="auto"/>
              <w:ind w:firstLine="0" w:firstLineChars="0"/>
              <w:jc w:val="center"/>
              <w:rPr>
                <w:rFonts w:eastAsia="等线" w:cs="Times New Roman"/>
                <w:kern w:val="0"/>
                <w:sz w:val="22"/>
              </w:rPr>
            </w:pPr>
            <w:r>
              <w:rPr>
                <w:rFonts w:hint="eastAsia" w:ascii="宋体" w:hAnsi="宋体" w:cs="Times New Roman"/>
                <w:kern w:val="0"/>
                <w:sz w:val="22"/>
              </w:rPr>
              <w:t>凤凰新村区域</w:t>
            </w:r>
          </w:p>
        </w:tc>
        <w:tc>
          <w:tcPr>
            <w:tcW w:w="8512" w:type="dxa"/>
            <w:tcBorders>
              <w:top w:val="nil"/>
              <w:left w:val="nil"/>
              <w:bottom w:val="single" w:color="auto" w:sz="4" w:space="0"/>
              <w:right w:val="single" w:color="auto" w:sz="4" w:space="0"/>
            </w:tcBorders>
            <w:shd w:val="clear" w:color="auto" w:fill="auto"/>
            <w:tcMar>
              <w:left w:w="51" w:type="dxa"/>
              <w:right w:w="51" w:type="dxa"/>
            </w:tcMar>
            <w:vAlign w:val="center"/>
          </w:tcPr>
          <w:p w14:paraId="0B8D8A55">
            <w:pPr>
              <w:widowControl/>
              <w:spacing w:line="240" w:lineRule="auto"/>
              <w:ind w:firstLine="0" w:firstLineChars="0"/>
              <w:jc w:val="left"/>
              <w:rPr>
                <w:rFonts w:eastAsia="等线" w:cs="Times New Roman"/>
                <w:kern w:val="0"/>
                <w:sz w:val="22"/>
              </w:rPr>
            </w:pPr>
            <w:r>
              <w:rPr>
                <w:rFonts w:hint="eastAsia" w:ascii="宋体" w:hAnsi="宋体" w:cs="Times New Roman"/>
                <w:kern w:val="0"/>
                <w:sz w:val="22"/>
              </w:rPr>
              <w:t>工业路→斗池路→西二环中路</w:t>
            </w:r>
          </w:p>
        </w:tc>
        <w:tc>
          <w:tcPr>
            <w:tcW w:w="1512" w:type="dxa"/>
            <w:tcBorders>
              <w:top w:val="nil"/>
              <w:left w:val="nil"/>
              <w:bottom w:val="single" w:color="auto" w:sz="4" w:space="0"/>
              <w:right w:val="single" w:color="auto" w:sz="4" w:space="0"/>
            </w:tcBorders>
            <w:shd w:val="clear" w:color="auto" w:fill="auto"/>
            <w:noWrap/>
            <w:tcMar>
              <w:left w:w="51" w:type="dxa"/>
              <w:right w:w="51" w:type="dxa"/>
            </w:tcMar>
            <w:vAlign w:val="center"/>
          </w:tcPr>
          <w:p w14:paraId="50008EC2">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0.2770 </w:t>
            </w:r>
          </w:p>
        </w:tc>
      </w:tr>
      <w:tr w14:paraId="6C2E3BDE">
        <w:tblPrEx>
          <w:tblCellMar>
            <w:top w:w="0" w:type="dxa"/>
            <w:left w:w="108" w:type="dxa"/>
            <w:bottom w:w="0" w:type="dxa"/>
            <w:right w:w="108" w:type="dxa"/>
          </w:tblCellMar>
        </w:tblPrEx>
        <w:trPr>
          <w:trHeight w:val="823" w:hRule="atLeast"/>
        </w:trPr>
        <w:tc>
          <w:tcPr>
            <w:tcW w:w="1413" w:type="dxa"/>
            <w:tcBorders>
              <w:top w:val="nil"/>
              <w:left w:val="single" w:color="auto" w:sz="4" w:space="0"/>
              <w:bottom w:val="single" w:color="auto" w:sz="4" w:space="0"/>
              <w:right w:val="single" w:color="auto" w:sz="4" w:space="0"/>
            </w:tcBorders>
            <w:shd w:val="clear" w:color="auto" w:fill="auto"/>
            <w:noWrap/>
            <w:tcMar>
              <w:left w:w="51" w:type="dxa"/>
              <w:right w:w="51" w:type="dxa"/>
            </w:tcMar>
            <w:vAlign w:val="center"/>
          </w:tcPr>
          <w:p w14:paraId="5E05CA92">
            <w:pPr>
              <w:widowControl/>
              <w:spacing w:line="240" w:lineRule="auto"/>
              <w:ind w:firstLine="0" w:firstLineChars="0"/>
              <w:jc w:val="center"/>
              <w:rPr>
                <w:rFonts w:eastAsia="等线" w:cs="Times New Roman"/>
                <w:kern w:val="0"/>
                <w:sz w:val="22"/>
              </w:rPr>
            </w:pPr>
            <w:r>
              <w:rPr>
                <w:rFonts w:eastAsia="等线" w:cs="Times New Roman"/>
                <w:kern w:val="0"/>
                <w:sz w:val="22"/>
              </w:rPr>
              <w:t>JZQ002</w:t>
            </w:r>
          </w:p>
        </w:tc>
        <w:tc>
          <w:tcPr>
            <w:tcW w:w="3121" w:type="dxa"/>
            <w:tcBorders>
              <w:top w:val="nil"/>
              <w:left w:val="nil"/>
              <w:bottom w:val="single" w:color="auto" w:sz="4" w:space="0"/>
              <w:right w:val="single" w:color="auto" w:sz="4" w:space="0"/>
            </w:tcBorders>
            <w:shd w:val="clear" w:color="auto" w:fill="auto"/>
            <w:tcMar>
              <w:left w:w="51" w:type="dxa"/>
              <w:right w:w="51" w:type="dxa"/>
            </w:tcMar>
            <w:vAlign w:val="center"/>
          </w:tcPr>
          <w:p w14:paraId="1F3925A6">
            <w:pPr>
              <w:widowControl/>
              <w:spacing w:line="240" w:lineRule="auto"/>
              <w:ind w:firstLine="0" w:firstLineChars="0"/>
              <w:jc w:val="center"/>
              <w:rPr>
                <w:rFonts w:eastAsia="等线" w:cs="Times New Roman"/>
                <w:kern w:val="0"/>
                <w:sz w:val="22"/>
              </w:rPr>
            </w:pPr>
            <w:r>
              <w:rPr>
                <w:rFonts w:hint="eastAsia" w:ascii="宋体" w:hAnsi="宋体" w:cs="Times New Roman"/>
                <w:kern w:val="0"/>
                <w:sz w:val="22"/>
              </w:rPr>
              <w:t>锦翔佳园区域</w:t>
            </w:r>
          </w:p>
        </w:tc>
        <w:tc>
          <w:tcPr>
            <w:tcW w:w="8512" w:type="dxa"/>
            <w:tcBorders>
              <w:top w:val="nil"/>
              <w:left w:val="nil"/>
              <w:bottom w:val="single" w:color="auto" w:sz="4" w:space="0"/>
              <w:right w:val="single" w:color="auto" w:sz="4" w:space="0"/>
            </w:tcBorders>
            <w:shd w:val="clear" w:color="auto" w:fill="auto"/>
            <w:tcMar>
              <w:left w:w="51" w:type="dxa"/>
              <w:right w:w="51" w:type="dxa"/>
            </w:tcMar>
            <w:vAlign w:val="center"/>
          </w:tcPr>
          <w:p w14:paraId="6E660647">
            <w:pPr>
              <w:widowControl/>
              <w:spacing w:line="240" w:lineRule="auto"/>
              <w:ind w:firstLine="0" w:firstLineChars="0"/>
              <w:jc w:val="left"/>
              <w:rPr>
                <w:rFonts w:eastAsia="等线" w:cs="Times New Roman"/>
                <w:kern w:val="0"/>
                <w:sz w:val="22"/>
              </w:rPr>
            </w:pPr>
            <w:r>
              <w:rPr>
                <w:rFonts w:hint="eastAsia" w:ascii="宋体" w:hAnsi="宋体" w:cs="Times New Roman"/>
                <w:kern w:val="0"/>
                <w:sz w:val="22"/>
              </w:rPr>
              <w:t>江滨西大道→福州市图书馆北侧、西侧边界→台江区教师进修学校附属第一小学西侧边界→长汀街→长汀外街→长汀街→祥坂街→小凤巷→上浦路→工业路→西二环中路</w:t>
            </w:r>
          </w:p>
        </w:tc>
        <w:tc>
          <w:tcPr>
            <w:tcW w:w="1512" w:type="dxa"/>
            <w:tcBorders>
              <w:top w:val="nil"/>
              <w:left w:val="nil"/>
              <w:bottom w:val="single" w:color="auto" w:sz="4" w:space="0"/>
              <w:right w:val="single" w:color="auto" w:sz="4" w:space="0"/>
            </w:tcBorders>
            <w:shd w:val="clear" w:color="auto" w:fill="auto"/>
            <w:noWrap/>
            <w:tcMar>
              <w:left w:w="51" w:type="dxa"/>
              <w:right w:w="51" w:type="dxa"/>
            </w:tcMar>
            <w:vAlign w:val="center"/>
          </w:tcPr>
          <w:p w14:paraId="5B0BBBBE">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0.6188 </w:t>
            </w:r>
          </w:p>
        </w:tc>
      </w:tr>
      <w:tr w14:paraId="446CB23C">
        <w:tblPrEx>
          <w:tblCellMar>
            <w:top w:w="0" w:type="dxa"/>
            <w:left w:w="108" w:type="dxa"/>
            <w:bottom w:w="0" w:type="dxa"/>
            <w:right w:w="108" w:type="dxa"/>
          </w:tblCellMar>
        </w:tblPrEx>
        <w:trPr>
          <w:trHeight w:val="456" w:hRule="atLeast"/>
        </w:trPr>
        <w:tc>
          <w:tcPr>
            <w:tcW w:w="1413" w:type="dxa"/>
            <w:tcBorders>
              <w:top w:val="nil"/>
              <w:left w:val="single" w:color="auto" w:sz="4" w:space="0"/>
              <w:bottom w:val="single" w:color="auto" w:sz="4" w:space="0"/>
              <w:right w:val="single" w:color="auto" w:sz="4" w:space="0"/>
            </w:tcBorders>
            <w:shd w:val="clear" w:color="auto" w:fill="auto"/>
            <w:noWrap/>
            <w:tcMar>
              <w:left w:w="51" w:type="dxa"/>
              <w:right w:w="51" w:type="dxa"/>
            </w:tcMar>
            <w:vAlign w:val="center"/>
          </w:tcPr>
          <w:p w14:paraId="44BB974E">
            <w:pPr>
              <w:widowControl/>
              <w:spacing w:line="240" w:lineRule="auto"/>
              <w:ind w:firstLine="0" w:firstLineChars="0"/>
              <w:jc w:val="center"/>
              <w:rPr>
                <w:rFonts w:eastAsia="等线" w:cs="Times New Roman"/>
                <w:kern w:val="0"/>
                <w:sz w:val="22"/>
              </w:rPr>
            </w:pPr>
            <w:r>
              <w:rPr>
                <w:rFonts w:eastAsia="等线" w:cs="Times New Roman"/>
                <w:kern w:val="0"/>
                <w:sz w:val="22"/>
              </w:rPr>
              <w:t>JZQ003</w:t>
            </w:r>
          </w:p>
        </w:tc>
        <w:tc>
          <w:tcPr>
            <w:tcW w:w="3121" w:type="dxa"/>
            <w:tcBorders>
              <w:top w:val="nil"/>
              <w:left w:val="nil"/>
              <w:bottom w:val="single" w:color="auto" w:sz="4" w:space="0"/>
              <w:right w:val="single" w:color="auto" w:sz="4" w:space="0"/>
            </w:tcBorders>
            <w:shd w:val="clear" w:color="auto" w:fill="auto"/>
            <w:tcMar>
              <w:left w:w="51" w:type="dxa"/>
              <w:right w:w="51" w:type="dxa"/>
            </w:tcMar>
            <w:vAlign w:val="center"/>
          </w:tcPr>
          <w:p w14:paraId="6BA8554A">
            <w:pPr>
              <w:widowControl/>
              <w:spacing w:line="240" w:lineRule="auto"/>
              <w:ind w:firstLine="0" w:firstLineChars="0"/>
              <w:jc w:val="center"/>
              <w:rPr>
                <w:rFonts w:eastAsia="等线" w:cs="Times New Roman"/>
                <w:kern w:val="0"/>
                <w:sz w:val="22"/>
              </w:rPr>
            </w:pPr>
            <w:r>
              <w:rPr>
                <w:rFonts w:hint="eastAsia" w:ascii="宋体" w:hAnsi="宋体" w:cs="Times New Roman"/>
                <w:kern w:val="0"/>
                <w:sz w:val="22"/>
              </w:rPr>
              <w:t>万象社区区域</w:t>
            </w:r>
          </w:p>
        </w:tc>
        <w:tc>
          <w:tcPr>
            <w:tcW w:w="8512" w:type="dxa"/>
            <w:tcBorders>
              <w:top w:val="nil"/>
              <w:left w:val="nil"/>
              <w:bottom w:val="single" w:color="auto" w:sz="4" w:space="0"/>
              <w:right w:val="single" w:color="auto" w:sz="4" w:space="0"/>
            </w:tcBorders>
            <w:shd w:val="clear" w:color="auto" w:fill="auto"/>
            <w:tcMar>
              <w:left w:w="51" w:type="dxa"/>
              <w:right w:w="51" w:type="dxa"/>
            </w:tcMar>
            <w:vAlign w:val="center"/>
          </w:tcPr>
          <w:p w14:paraId="33DCDC70">
            <w:pPr>
              <w:widowControl/>
              <w:spacing w:line="240" w:lineRule="auto"/>
              <w:ind w:firstLine="0" w:firstLineChars="0"/>
              <w:jc w:val="left"/>
              <w:rPr>
                <w:rFonts w:eastAsia="等线" w:cs="Times New Roman"/>
                <w:kern w:val="0"/>
                <w:sz w:val="22"/>
              </w:rPr>
            </w:pPr>
            <w:r>
              <w:rPr>
                <w:rFonts w:hint="eastAsia" w:ascii="宋体" w:hAnsi="宋体" w:cs="Times New Roman"/>
                <w:kern w:val="0"/>
                <w:sz w:val="22"/>
              </w:rPr>
              <w:t>工业路→白马中路→斗池路→西二环中路</w:t>
            </w:r>
          </w:p>
        </w:tc>
        <w:tc>
          <w:tcPr>
            <w:tcW w:w="1512" w:type="dxa"/>
            <w:tcBorders>
              <w:top w:val="single" w:color="auto" w:sz="4" w:space="0"/>
              <w:left w:val="nil"/>
              <w:bottom w:val="single" w:color="auto" w:sz="4" w:space="0"/>
              <w:right w:val="single" w:color="auto" w:sz="4" w:space="0"/>
            </w:tcBorders>
            <w:shd w:val="clear" w:color="auto" w:fill="auto"/>
            <w:noWrap/>
            <w:tcMar>
              <w:left w:w="51" w:type="dxa"/>
              <w:right w:w="51" w:type="dxa"/>
            </w:tcMar>
            <w:vAlign w:val="center"/>
          </w:tcPr>
          <w:p w14:paraId="3B018589">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0.3297 </w:t>
            </w:r>
          </w:p>
        </w:tc>
      </w:tr>
      <w:tr w14:paraId="213370C4">
        <w:tblPrEx>
          <w:tblCellMar>
            <w:top w:w="0" w:type="dxa"/>
            <w:left w:w="108" w:type="dxa"/>
            <w:bottom w:w="0" w:type="dxa"/>
            <w:right w:w="108" w:type="dxa"/>
          </w:tblCellMar>
        </w:tblPrEx>
        <w:trPr>
          <w:trHeight w:val="456" w:hRule="atLeast"/>
        </w:trPr>
        <w:tc>
          <w:tcPr>
            <w:tcW w:w="1413" w:type="dxa"/>
            <w:tcBorders>
              <w:top w:val="nil"/>
              <w:left w:val="single" w:color="auto" w:sz="4" w:space="0"/>
              <w:bottom w:val="single" w:color="auto" w:sz="4" w:space="0"/>
              <w:right w:val="single" w:color="auto" w:sz="4" w:space="0"/>
            </w:tcBorders>
            <w:shd w:val="clear" w:color="auto" w:fill="auto"/>
            <w:noWrap/>
            <w:tcMar>
              <w:left w:w="51" w:type="dxa"/>
              <w:right w:w="51" w:type="dxa"/>
            </w:tcMar>
            <w:vAlign w:val="center"/>
          </w:tcPr>
          <w:p w14:paraId="18FE7CFE">
            <w:pPr>
              <w:widowControl/>
              <w:spacing w:line="240" w:lineRule="auto"/>
              <w:ind w:firstLine="0" w:firstLineChars="0"/>
              <w:jc w:val="center"/>
              <w:rPr>
                <w:rFonts w:eastAsia="等线" w:cs="Times New Roman"/>
                <w:kern w:val="0"/>
                <w:sz w:val="22"/>
              </w:rPr>
            </w:pPr>
            <w:r>
              <w:rPr>
                <w:rFonts w:eastAsia="等线" w:cs="Times New Roman"/>
                <w:kern w:val="0"/>
                <w:sz w:val="22"/>
              </w:rPr>
              <w:t>JZQ004</w:t>
            </w:r>
          </w:p>
        </w:tc>
        <w:tc>
          <w:tcPr>
            <w:tcW w:w="3121" w:type="dxa"/>
            <w:tcBorders>
              <w:top w:val="nil"/>
              <w:left w:val="nil"/>
              <w:bottom w:val="single" w:color="auto" w:sz="4" w:space="0"/>
              <w:right w:val="single" w:color="auto" w:sz="4" w:space="0"/>
            </w:tcBorders>
            <w:shd w:val="clear" w:color="auto" w:fill="auto"/>
            <w:tcMar>
              <w:left w:w="51" w:type="dxa"/>
              <w:right w:w="51" w:type="dxa"/>
            </w:tcMar>
            <w:vAlign w:val="center"/>
          </w:tcPr>
          <w:p w14:paraId="760DE3E7">
            <w:pPr>
              <w:widowControl/>
              <w:spacing w:line="240" w:lineRule="auto"/>
              <w:ind w:firstLine="0" w:firstLineChars="0"/>
              <w:jc w:val="center"/>
              <w:rPr>
                <w:rFonts w:eastAsia="等线" w:cs="Times New Roman"/>
                <w:kern w:val="0"/>
                <w:sz w:val="22"/>
              </w:rPr>
            </w:pPr>
            <w:r>
              <w:rPr>
                <w:rFonts w:hint="eastAsia" w:ascii="宋体" w:hAnsi="宋体" w:cs="Times New Roman"/>
                <w:kern w:val="0"/>
                <w:sz w:val="22"/>
              </w:rPr>
              <w:t>宁化社区区域</w:t>
            </w:r>
          </w:p>
        </w:tc>
        <w:tc>
          <w:tcPr>
            <w:tcW w:w="8512" w:type="dxa"/>
            <w:tcBorders>
              <w:top w:val="nil"/>
              <w:left w:val="nil"/>
              <w:bottom w:val="single" w:color="auto" w:sz="4" w:space="0"/>
              <w:right w:val="single" w:color="auto" w:sz="4" w:space="0"/>
            </w:tcBorders>
            <w:shd w:val="clear" w:color="auto" w:fill="auto"/>
            <w:tcMar>
              <w:left w:w="51" w:type="dxa"/>
              <w:right w:w="51" w:type="dxa"/>
            </w:tcMar>
            <w:vAlign w:val="center"/>
          </w:tcPr>
          <w:p w14:paraId="0DED07A3">
            <w:pPr>
              <w:widowControl/>
              <w:spacing w:line="240" w:lineRule="auto"/>
              <w:ind w:firstLine="0" w:firstLineChars="0"/>
              <w:jc w:val="left"/>
              <w:rPr>
                <w:rFonts w:eastAsia="等线" w:cs="Times New Roman"/>
                <w:kern w:val="0"/>
                <w:sz w:val="22"/>
              </w:rPr>
            </w:pPr>
            <w:r>
              <w:rPr>
                <w:rFonts w:hint="eastAsia" w:ascii="宋体" w:hAnsi="宋体" w:cs="Times New Roman"/>
                <w:kern w:val="0"/>
                <w:sz w:val="22"/>
              </w:rPr>
              <w:t>江滨西大道→白马南路→工业路→西二环南路及匝道</w:t>
            </w:r>
          </w:p>
        </w:tc>
        <w:tc>
          <w:tcPr>
            <w:tcW w:w="1512" w:type="dxa"/>
            <w:tcBorders>
              <w:top w:val="nil"/>
              <w:left w:val="nil"/>
              <w:bottom w:val="single" w:color="auto" w:sz="4" w:space="0"/>
              <w:right w:val="single" w:color="auto" w:sz="4" w:space="0"/>
            </w:tcBorders>
            <w:shd w:val="clear" w:color="auto" w:fill="auto"/>
            <w:noWrap/>
            <w:tcMar>
              <w:left w:w="51" w:type="dxa"/>
              <w:right w:w="51" w:type="dxa"/>
            </w:tcMar>
            <w:vAlign w:val="center"/>
          </w:tcPr>
          <w:p w14:paraId="594AAF49">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1.2422 </w:t>
            </w:r>
          </w:p>
        </w:tc>
      </w:tr>
      <w:tr w14:paraId="6276A3F1">
        <w:tblPrEx>
          <w:tblCellMar>
            <w:top w:w="0" w:type="dxa"/>
            <w:left w:w="108" w:type="dxa"/>
            <w:bottom w:w="0" w:type="dxa"/>
            <w:right w:w="108" w:type="dxa"/>
          </w:tblCellMar>
        </w:tblPrEx>
        <w:trPr>
          <w:trHeight w:val="456" w:hRule="atLeast"/>
        </w:trPr>
        <w:tc>
          <w:tcPr>
            <w:tcW w:w="1413" w:type="dxa"/>
            <w:tcBorders>
              <w:top w:val="nil"/>
              <w:left w:val="single" w:color="auto" w:sz="4" w:space="0"/>
              <w:bottom w:val="single" w:color="auto" w:sz="4" w:space="0"/>
              <w:right w:val="single" w:color="auto" w:sz="4" w:space="0"/>
            </w:tcBorders>
            <w:shd w:val="clear" w:color="auto" w:fill="auto"/>
            <w:noWrap/>
            <w:tcMar>
              <w:left w:w="51" w:type="dxa"/>
              <w:right w:w="51" w:type="dxa"/>
            </w:tcMar>
            <w:vAlign w:val="center"/>
          </w:tcPr>
          <w:p w14:paraId="4D79E299">
            <w:pPr>
              <w:widowControl/>
              <w:spacing w:line="240" w:lineRule="auto"/>
              <w:ind w:firstLine="0" w:firstLineChars="0"/>
              <w:jc w:val="center"/>
              <w:rPr>
                <w:rFonts w:eastAsia="等线" w:cs="Times New Roman"/>
                <w:kern w:val="0"/>
                <w:sz w:val="22"/>
              </w:rPr>
            </w:pPr>
            <w:r>
              <w:rPr>
                <w:rFonts w:eastAsia="等线" w:cs="Times New Roman"/>
                <w:kern w:val="0"/>
                <w:sz w:val="22"/>
              </w:rPr>
              <w:t>JZQ005</w:t>
            </w:r>
          </w:p>
        </w:tc>
        <w:tc>
          <w:tcPr>
            <w:tcW w:w="3121" w:type="dxa"/>
            <w:tcBorders>
              <w:top w:val="nil"/>
              <w:left w:val="nil"/>
              <w:bottom w:val="single" w:color="auto" w:sz="4" w:space="0"/>
              <w:right w:val="single" w:color="auto" w:sz="4" w:space="0"/>
            </w:tcBorders>
            <w:shd w:val="clear" w:color="auto" w:fill="auto"/>
            <w:tcMar>
              <w:left w:w="51" w:type="dxa"/>
              <w:right w:w="51" w:type="dxa"/>
            </w:tcMar>
            <w:vAlign w:val="center"/>
          </w:tcPr>
          <w:p w14:paraId="57F6E7CA">
            <w:pPr>
              <w:widowControl/>
              <w:spacing w:line="240" w:lineRule="auto"/>
              <w:ind w:firstLine="0" w:firstLineChars="0"/>
              <w:jc w:val="center"/>
              <w:rPr>
                <w:rFonts w:eastAsia="等线" w:cs="Times New Roman"/>
                <w:kern w:val="0"/>
                <w:sz w:val="22"/>
              </w:rPr>
            </w:pPr>
            <w:r>
              <w:rPr>
                <w:rFonts w:hint="eastAsia" w:ascii="宋体" w:hAnsi="宋体" w:cs="Times New Roman"/>
                <w:kern w:val="0"/>
                <w:sz w:val="22"/>
              </w:rPr>
              <w:t>福建医科大学台江校区区域</w:t>
            </w:r>
          </w:p>
        </w:tc>
        <w:tc>
          <w:tcPr>
            <w:tcW w:w="8512" w:type="dxa"/>
            <w:tcBorders>
              <w:top w:val="nil"/>
              <w:left w:val="nil"/>
              <w:bottom w:val="single" w:color="auto" w:sz="4" w:space="0"/>
              <w:right w:val="single" w:color="auto" w:sz="4" w:space="0"/>
            </w:tcBorders>
            <w:shd w:val="clear" w:color="auto" w:fill="auto"/>
            <w:tcMar>
              <w:left w:w="51" w:type="dxa"/>
              <w:right w:w="51" w:type="dxa"/>
            </w:tcMar>
            <w:vAlign w:val="center"/>
          </w:tcPr>
          <w:p w14:paraId="362712EA">
            <w:pPr>
              <w:widowControl/>
              <w:spacing w:line="240" w:lineRule="auto"/>
              <w:ind w:firstLine="0" w:firstLineChars="0"/>
              <w:jc w:val="left"/>
              <w:rPr>
                <w:rFonts w:eastAsia="等线" w:cs="Times New Roman"/>
                <w:kern w:val="0"/>
                <w:sz w:val="22"/>
              </w:rPr>
            </w:pPr>
            <w:r>
              <w:rPr>
                <w:rFonts w:hint="eastAsia" w:ascii="宋体" w:hAnsi="宋体" w:cs="Times New Roman"/>
                <w:kern w:val="0"/>
                <w:sz w:val="22"/>
              </w:rPr>
              <w:t>工业路西→国货西路→六一中路→琼东河→东西河→白马中路</w:t>
            </w:r>
          </w:p>
        </w:tc>
        <w:tc>
          <w:tcPr>
            <w:tcW w:w="1512" w:type="dxa"/>
            <w:tcBorders>
              <w:top w:val="nil"/>
              <w:left w:val="nil"/>
              <w:bottom w:val="single" w:color="auto" w:sz="4" w:space="0"/>
              <w:right w:val="single" w:color="auto" w:sz="4" w:space="0"/>
            </w:tcBorders>
            <w:shd w:val="clear" w:color="auto" w:fill="auto"/>
            <w:noWrap/>
            <w:tcMar>
              <w:left w:w="51" w:type="dxa"/>
              <w:right w:w="51" w:type="dxa"/>
            </w:tcMar>
            <w:vAlign w:val="center"/>
          </w:tcPr>
          <w:p w14:paraId="140D6F61">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2.3106 </w:t>
            </w:r>
          </w:p>
        </w:tc>
      </w:tr>
      <w:tr w14:paraId="062C600E">
        <w:tblPrEx>
          <w:tblCellMar>
            <w:top w:w="0" w:type="dxa"/>
            <w:left w:w="108" w:type="dxa"/>
            <w:bottom w:w="0" w:type="dxa"/>
            <w:right w:w="108" w:type="dxa"/>
          </w:tblCellMar>
        </w:tblPrEx>
        <w:trPr>
          <w:trHeight w:val="456" w:hRule="atLeast"/>
        </w:trPr>
        <w:tc>
          <w:tcPr>
            <w:tcW w:w="1413" w:type="dxa"/>
            <w:tcBorders>
              <w:top w:val="nil"/>
              <w:left w:val="single" w:color="auto" w:sz="4" w:space="0"/>
              <w:bottom w:val="single" w:color="auto" w:sz="4" w:space="0"/>
              <w:right w:val="single" w:color="auto" w:sz="4" w:space="0"/>
            </w:tcBorders>
            <w:shd w:val="clear" w:color="auto" w:fill="auto"/>
            <w:noWrap/>
            <w:tcMar>
              <w:left w:w="51" w:type="dxa"/>
              <w:right w:w="51" w:type="dxa"/>
            </w:tcMar>
            <w:vAlign w:val="center"/>
          </w:tcPr>
          <w:p w14:paraId="7C7C4E3B">
            <w:pPr>
              <w:widowControl/>
              <w:spacing w:line="240" w:lineRule="auto"/>
              <w:ind w:firstLine="0" w:firstLineChars="0"/>
              <w:jc w:val="center"/>
              <w:rPr>
                <w:rFonts w:eastAsia="等线" w:cs="Times New Roman"/>
                <w:kern w:val="0"/>
                <w:sz w:val="22"/>
              </w:rPr>
            </w:pPr>
            <w:r>
              <w:rPr>
                <w:rFonts w:eastAsia="等线" w:cs="Times New Roman"/>
                <w:kern w:val="0"/>
                <w:sz w:val="22"/>
              </w:rPr>
              <w:t>JZQ006</w:t>
            </w:r>
          </w:p>
        </w:tc>
        <w:tc>
          <w:tcPr>
            <w:tcW w:w="3121" w:type="dxa"/>
            <w:tcBorders>
              <w:top w:val="nil"/>
              <w:left w:val="nil"/>
              <w:bottom w:val="single" w:color="auto" w:sz="4" w:space="0"/>
              <w:right w:val="single" w:color="auto" w:sz="4" w:space="0"/>
            </w:tcBorders>
            <w:shd w:val="clear" w:color="auto" w:fill="auto"/>
            <w:tcMar>
              <w:left w:w="51" w:type="dxa"/>
              <w:right w:w="51" w:type="dxa"/>
            </w:tcMar>
            <w:vAlign w:val="center"/>
          </w:tcPr>
          <w:p w14:paraId="47D22D09">
            <w:pPr>
              <w:widowControl/>
              <w:spacing w:line="240" w:lineRule="auto"/>
              <w:ind w:firstLine="0" w:firstLineChars="0"/>
              <w:jc w:val="center"/>
              <w:rPr>
                <w:rFonts w:eastAsia="等线" w:cs="Times New Roman"/>
                <w:kern w:val="0"/>
                <w:sz w:val="22"/>
              </w:rPr>
            </w:pPr>
            <w:r>
              <w:rPr>
                <w:rFonts w:hint="eastAsia" w:ascii="宋体" w:hAnsi="宋体" w:cs="Times New Roman"/>
                <w:kern w:val="0"/>
                <w:sz w:val="22"/>
              </w:rPr>
              <w:t>上下杭区域</w:t>
            </w:r>
          </w:p>
        </w:tc>
        <w:tc>
          <w:tcPr>
            <w:tcW w:w="8512" w:type="dxa"/>
            <w:tcBorders>
              <w:top w:val="nil"/>
              <w:left w:val="nil"/>
              <w:bottom w:val="single" w:color="auto" w:sz="4" w:space="0"/>
              <w:right w:val="single" w:color="auto" w:sz="4" w:space="0"/>
            </w:tcBorders>
            <w:shd w:val="clear" w:color="auto" w:fill="auto"/>
            <w:tcMar>
              <w:left w:w="51" w:type="dxa"/>
              <w:right w:w="51" w:type="dxa"/>
            </w:tcMar>
            <w:vAlign w:val="center"/>
          </w:tcPr>
          <w:p w14:paraId="651698FF">
            <w:pPr>
              <w:widowControl/>
              <w:spacing w:line="240" w:lineRule="auto"/>
              <w:ind w:firstLine="0" w:firstLineChars="0"/>
              <w:jc w:val="left"/>
              <w:rPr>
                <w:rFonts w:eastAsia="等线" w:cs="Times New Roman"/>
                <w:kern w:val="0"/>
                <w:sz w:val="22"/>
              </w:rPr>
            </w:pPr>
            <w:r>
              <w:rPr>
                <w:rFonts w:hint="eastAsia" w:ascii="宋体" w:hAnsi="宋体" w:cs="Times New Roman"/>
                <w:kern w:val="0"/>
                <w:sz w:val="22"/>
              </w:rPr>
              <w:t>台江路→六一中路→达道河→南公小学东侧道路→国货西路→白马南路</w:t>
            </w:r>
          </w:p>
        </w:tc>
        <w:tc>
          <w:tcPr>
            <w:tcW w:w="1512" w:type="dxa"/>
            <w:tcBorders>
              <w:top w:val="nil"/>
              <w:left w:val="nil"/>
              <w:bottom w:val="single" w:color="auto" w:sz="4" w:space="0"/>
              <w:right w:val="single" w:color="auto" w:sz="4" w:space="0"/>
            </w:tcBorders>
            <w:shd w:val="clear" w:color="auto" w:fill="auto"/>
            <w:noWrap/>
            <w:tcMar>
              <w:left w:w="51" w:type="dxa"/>
              <w:right w:w="51" w:type="dxa"/>
            </w:tcMar>
            <w:vAlign w:val="center"/>
          </w:tcPr>
          <w:p w14:paraId="2EF8499A">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2.9767 </w:t>
            </w:r>
          </w:p>
        </w:tc>
      </w:tr>
      <w:tr w14:paraId="00D4E885">
        <w:tblPrEx>
          <w:tblCellMar>
            <w:top w:w="0" w:type="dxa"/>
            <w:left w:w="108" w:type="dxa"/>
            <w:bottom w:w="0" w:type="dxa"/>
            <w:right w:w="108" w:type="dxa"/>
          </w:tblCellMar>
        </w:tblPrEx>
        <w:trPr>
          <w:trHeight w:val="456" w:hRule="atLeast"/>
        </w:trPr>
        <w:tc>
          <w:tcPr>
            <w:tcW w:w="1413" w:type="dxa"/>
            <w:tcBorders>
              <w:top w:val="nil"/>
              <w:left w:val="single" w:color="auto" w:sz="4" w:space="0"/>
              <w:bottom w:val="single" w:color="auto" w:sz="4" w:space="0"/>
              <w:right w:val="single" w:color="auto" w:sz="4" w:space="0"/>
            </w:tcBorders>
            <w:shd w:val="clear" w:color="auto" w:fill="auto"/>
            <w:noWrap/>
            <w:tcMar>
              <w:left w:w="51" w:type="dxa"/>
              <w:right w:w="51" w:type="dxa"/>
            </w:tcMar>
            <w:vAlign w:val="center"/>
          </w:tcPr>
          <w:p w14:paraId="6F6DBB05">
            <w:pPr>
              <w:widowControl/>
              <w:spacing w:line="240" w:lineRule="auto"/>
              <w:ind w:firstLine="0" w:firstLineChars="0"/>
              <w:jc w:val="center"/>
              <w:rPr>
                <w:rFonts w:eastAsia="等线" w:cs="Times New Roman"/>
                <w:kern w:val="0"/>
                <w:sz w:val="22"/>
              </w:rPr>
            </w:pPr>
            <w:r>
              <w:rPr>
                <w:rFonts w:eastAsia="等线" w:cs="Times New Roman"/>
                <w:kern w:val="0"/>
                <w:sz w:val="22"/>
              </w:rPr>
              <w:t>JZQ007</w:t>
            </w:r>
          </w:p>
        </w:tc>
        <w:tc>
          <w:tcPr>
            <w:tcW w:w="3121" w:type="dxa"/>
            <w:tcBorders>
              <w:top w:val="nil"/>
              <w:left w:val="nil"/>
              <w:bottom w:val="single" w:color="auto" w:sz="4" w:space="0"/>
              <w:right w:val="single" w:color="auto" w:sz="4" w:space="0"/>
            </w:tcBorders>
            <w:shd w:val="clear" w:color="auto" w:fill="auto"/>
            <w:tcMar>
              <w:left w:w="51" w:type="dxa"/>
              <w:right w:w="51" w:type="dxa"/>
            </w:tcMar>
            <w:vAlign w:val="center"/>
          </w:tcPr>
          <w:p w14:paraId="5FACA906">
            <w:pPr>
              <w:widowControl/>
              <w:spacing w:line="240" w:lineRule="auto"/>
              <w:ind w:firstLine="0" w:firstLineChars="0"/>
              <w:jc w:val="center"/>
              <w:rPr>
                <w:rFonts w:eastAsia="等线" w:cs="Times New Roman"/>
                <w:kern w:val="0"/>
                <w:sz w:val="22"/>
              </w:rPr>
            </w:pPr>
            <w:r>
              <w:rPr>
                <w:rFonts w:hint="eastAsia" w:ascii="宋体" w:hAnsi="宋体" w:cs="Times New Roman"/>
                <w:kern w:val="0"/>
                <w:sz w:val="22"/>
              </w:rPr>
              <w:t>融侨国际公馆区域</w:t>
            </w:r>
          </w:p>
        </w:tc>
        <w:tc>
          <w:tcPr>
            <w:tcW w:w="8512" w:type="dxa"/>
            <w:tcBorders>
              <w:top w:val="nil"/>
              <w:left w:val="nil"/>
              <w:bottom w:val="single" w:color="auto" w:sz="4" w:space="0"/>
              <w:right w:val="single" w:color="auto" w:sz="4" w:space="0"/>
            </w:tcBorders>
            <w:shd w:val="clear" w:color="auto" w:fill="auto"/>
            <w:tcMar>
              <w:left w:w="51" w:type="dxa"/>
              <w:right w:w="51" w:type="dxa"/>
            </w:tcMar>
            <w:vAlign w:val="center"/>
          </w:tcPr>
          <w:p w14:paraId="7DDD2EE8">
            <w:pPr>
              <w:widowControl/>
              <w:spacing w:line="240" w:lineRule="auto"/>
              <w:ind w:firstLine="0" w:firstLineChars="0"/>
              <w:jc w:val="left"/>
              <w:rPr>
                <w:rFonts w:eastAsia="等线" w:cs="Times New Roman"/>
                <w:kern w:val="0"/>
                <w:sz w:val="22"/>
              </w:rPr>
            </w:pPr>
            <w:r>
              <w:rPr>
                <w:rFonts w:hint="eastAsia" w:ascii="宋体" w:hAnsi="宋体" w:cs="Times New Roman"/>
                <w:kern w:val="0"/>
                <w:sz w:val="22"/>
              </w:rPr>
              <w:t>国货东路→晋安河→琼东河→六一中路</w:t>
            </w:r>
          </w:p>
        </w:tc>
        <w:tc>
          <w:tcPr>
            <w:tcW w:w="1512" w:type="dxa"/>
            <w:tcBorders>
              <w:top w:val="nil"/>
              <w:left w:val="nil"/>
              <w:bottom w:val="single" w:color="auto" w:sz="4" w:space="0"/>
              <w:right w:val="single" w:color="auto" w:sz="4" w:space="0"/>
            </w:tcBorders>
            <w:shd w:val="clear" w:color="auto" w:fill="auto"/>
            <w:noWrap/>
            <w:tcMar>
              <w:left w:w="51" w:type="dxa"/>
              <w:right w:w="51" w:type="dxa"/>
            </w:tcMar>
            <w:vAlign w:val="center"/>
          </w:tcPr>
          <w:p w14:paraId="295D716B">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0.1170 </w:t>
            </w:r>
          </w:p>
        </w:tc>
      </w:tr>
      <w:tr w14:paraId="1BA9E756">
        <w:tblPrEx>
          <w:tblCellMar>
            <w:top w:w="0" w:type="dxa"/>
            <w:left w:w="108" w:type="dxa"/>
            <w:bottom w:w="0" w:type="dxa"/>
            <w:right w:w="108" w:type="dxa"/>
          </w:tblCellMar>
        </w:tblPrEx>
        <w:trPr>
          <w:trHeight w:val="456" w:hRule="atLeast"/>
        </w:trPr>
        <w:tc>
          <w:tcPr>
            <w:tcW w:w="1413" w:type="dxa"/>
            <w:tcBorders>
              <w:top w:val="nil"/>
              <w:left w:val="single" w:color="auto" w:sz="4" w:space="0"/>
              <w:bottom w:val="single" w:color="auto" w:sz="4" w:space="0"/>
              <w:right w:val="single" w:color="auto" w:sz="4" w:space="0"/>
            </w:tcBorders>
            <w:shd w:val="clear" w:color="auto" w:fill="auto"/>
            <w:noWrap/>
            <w:tcMar>
              <w:left w:w="51" w:type="dxa"/>
              <w:right w:w="51" w:type="dxa"/>
            </w:tcMar>
            <w:vAlign w:val="center"/>
          </w:tcPr>
          <w:p w14:paraId="02E8F735">
            <w:pPr>
              <w:widowControl/>
              <w:spacing w:line="240" w:lineRule="auto"/>
              <w:ind w:firstLine="0" w:firstLineChars="0"/>
              <w:jc w:val="center"/>
              <w:rPr>
                <w:rFonts w:eastAsia="等线" w:cs="Times New Roman"/>
                <w:kern w:val="0"/>
                <w:sz w:val="22"/>
              </w:rPr>
            </w:pPr>
            <w:r>
              <w:rPr>
                <w:rFonts w:eastAsia="等线" w:cs="Times New Roman"/>
                <w:kern w:val="0"/>
                <w:sz w:val="22"/>
              </w:rPr>
              <w:t>JZQ008</w:t>
            </w:r>
          </w:p>
        </w:tc>
        <w:tc>
          <w:tcPr>
            <w:tcW w:w="3121" w:type="dxa"/>
            <w:tcBorders>
              <w:top w:val="nil"/>
              <w:left w:val="nil"/>
              <w:bottom w:val="single" w:color="auto" w:sz="4" w:space="0"/>
              <w:right w:val="single" w:color="auto" w:sz="4" w:space="0"/>
            </w:tcBorders>
            <w:shd w:val="clear" w:color="auto" w:fill="auto"/>
            <w:tcMar>
              <w:left w:w="51" w:type="dxa"/>
              <w:right w:w="51" w:type="dxa"/>
            </w:tcMar>
            <w:vAlign w:val="center"/>
          </w:tcPr>
          <w:p w14:paraId="3E606B45">
            <w:pPr>
              <w:widowControl/>
              <w:spacing w:line="240" w:lineRule="auto"/>
              <w:ind w:firstLine="0" w:firstLineChars="0"/>
              <w:jc w:val="center"/>
              <w:rPr>
                <w:rFonts w:eastAsia="等线" w:cs="Times New Roman"/>
                <w:kern w:val="0"/>
                <w:sz w:val="22"/>
              </w:rPr>
            </w:pPr>
            <w:r>
              <w:rPr>
                <w:rFonts w:hint="eastAsia" w:ascii="宋体" w:hAnsi="宋体" w:cs="Times New Roman"/>
                <w:kern w:val="0"/>
                <w:sz w:val="22"/>
              </w:rPr>
              <w:t>万科澜悦、阳光城悠澜郡区域</w:t>
            </w:r>
          </w:p>
        </w:tc>
        <w:tc>
          <w:tcPr>
            <w:tcW w:w="8512" w:type="dxa"/>
            <w:tcBorders>
              <w:top w:val="nil"/>
              <w:left w:val="nil"/>
              <w:bottom w:val="single" w:color="auto" w:sz="4" w:space="0"/>
              <w:right w:val="single" w:color="auto" w:sz="4" w:space="0"/>
            </w:tcBorders>
            <w:shd w:val="clear" w:color="auto" w:fill="auto"/>
            <w:tcMar>
              <w:left w:w="51" w:type="dxa"/>
              <w:right w:w="51" w:type="dxa"/>
            </w:tcMar>
            <w:vAlign w:val="center"/>
          </w:tcPr>
          <w:p w14:paraId="14001231">
            <w:pPr>
              <w:widowControl/>
              <w:spacing w:line="240" w:lineRule="auto"/>
              <w:ind w:firstLine="0" w:firstLineChars="0"/>
              <w:jc w:val="left"/>
              <w:rPr>
                <w:rFonts w:eastAsia="等线" w:cs="Times New Roman"/>
                <w:kern w:val="0"/>
                <w:sz w:val="22"/>
              </w:rPr>
            </w:pPr>
            <w:r>
              <w:rPr>
                <w:rFonts w:hint="eastAsia" w:ascii="宋体" w:hAnsi="宋体" w:cs="Times New Roman"/>
                <w:kern w:val="0"/>
                <w:sz w:val="22"/>
              </w:rPr>
              <w:t>排尾路→连江中路→南光明港路→晋安河→国货东路→六一中路</w:t>
            </w:r>
          </w:p>
        </w:tc>
        <w:tc>
          <w:tcPr>
            <w:tcW w:w="1512" w:type="dxa"/>
            <w:tcBorders>
              <w:top w:val="nil"/>
              <w:left w:val="nil"/>
              <w:bottom w:val="single" w:color="auto" w:sz="4" w:space="0"/>
              <w:right w:val="single" w:color="auto" w:sz="4" w:space="0"/>
            </w:tcBorders>
            <w:shd w:val="clear" w:color="auto" w:fill="auto"/>
            <w:noWrap/>
            <w:tcMar>
              <w:left w:w="51" w:type="dxa"/>
              <w:right w:w="51" w:type="dxa"/>
            </w:tcMar>
            <w:vAlign w:val="center"/>
          </w:tcPr>
          <w:p w14:paraId="61C69E0B">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0.8537 </w:t>
            </w:r>
          </w:p>
        </w:tc>
      </w:tr>
      <w:tr w14:paraId="73E01E3F">
        <w:tblPrEx>
          <w:tblCellMar>
            <w:top w:w="0" w:type="dxa"/>
            <w:left w:w="108" w:type="dxa"/>
            <w:bottom w:w="0" w:type="dxa"/>
            <w:right w:w="108" w:type="dxa"/>
          </w:tblCellMar>
        </w:tblPrEx>
        <w:trPr>
          <w:trHeight w:val="456" w:hRule="atLeast"/>
        </w:trPr>
        <w:tc>
          <w:tcPr>
            <w:tcW w:w="1413" w:type="dxa"/>
            <w:tcBorders>
              <w:top w:val="nil"/>
              <w:left w:val="single" w:color="auto" w:sz="4" w:space="0"/>
              <w:bottom w:val="single" w:color="auto" w:sz="4" w:space="0"/>
              <w:right w:val="single" w:color="auto" w:sz="4" w:space="0"/>
            </w:tcBorders>
            <w:shd w:val="clear" w:color="auto" w:fill="auto"/>
            <w:noWrap/>
            <w:tcMar>
              <w:left w:w="51" w:type="dxa"/>
              <w:right w:w="51" w:type="dxa"/>
            </w:tcMar>
            <w:vAlign w:val="center"/>
          </w:tcPr>
          <w:p w14:paraId="601C91D3">
            <w:pPr>
              <w:widowControl/>
              <w:spacing w:line="240" w:lineRule="auto"/>
              <w:ind w:firstLine="0" w:firstLineChars="0"/>
              <w:jc w:val="center"/>
              <w:rPr>
                <w:rFonts w:eastAsia="等线" w:cs="Times New Roman"/>
                <w:kern w:val="0"/>
                <w:sz w:val="22"/>
              </w:rPr>
            </w:pPr>
            <w:r>
              <w:rPr>
                <w:rFonts w:eastAsia="等线" w:cs="Times New Roman"/>
                <w:kern w:val="0"/>
                <w:sz w:val="22"/>
              </w:rPr>
              <w:t>JZQ009</w:t>
            </w:r>
          </w:p>
        </w:tc>
        <w:tc>
          <w:tcPr>
            <w:tcW w:w="3121" w:type="dxa"/>
            <w:tcBorders>
              <w:top w:val="nil"/>
              <w:left w:val="nil"/>
              <w:bottom w:val="single" w:color="auto" w:sz="4" w:space="0"/>
              <w:right w:val="single" w:color="auto" w:sz="4" w:space="0"/>
            </w:tcBorders>
            <w:shd w:val="clear" w:color="auto" w:fill="auto"/>
            <w:tcMar>
              <w:left w:w="51" w:type="dxa"/>
              <w:right w:w="51" w:type="dxa"/>
            </w:tcMar>
            <w:vAlign w:val="center"/>
          </w:tcPr>
          <w:p w14:paraId="431345B6">
            <w:pPr>
              <w:widowControl/>
              <w:spacing w:line="240" w:lineRule="auto"/>
              <w:ind w:firstLine="0" w:firstLineChars="0"/>
              <w:jc w:val="center"/>
              <w:rPr>
                <w:rFonts w:eastAsia="等线" w:cs="Times New Roman"/>
                <w:kern w:val="0"/>
                <w:sz w:val="22"/>
              </w:rPr>
            </w:pPr>
            <w:r>
              <w:rPr>
                <w:rFonts w:hint="eastAsia" w:ascii="宋体" w:hAnsi="宋体" w:cs="Times New Roman"/>
                <w:kern w:val="0"/>
                <w:sz w:val="22"/>
              </w:rPr>
              <w:t>世贸外滩花园区域</w:t>
            </w:r>
          </w:p>
        </w:tc>
        <w:tc>
          <w:tcPr>
            <w:tcW w:w="8512" w:type="dxa"/>
            <w:tcBorders>
              <w:top w:val="nil"/>
              <w:left w:val="nil"/>
              <w:bottom w:val="single" w:color="auto" w:sz="4" w:space="0"/>
              <w:right w:val="single" w:color="auto" w:sz="4" w:space="0"/>
            </w:tcBorders>
            <w:shd w:val="clear" w:color="auto" w:fill="auto"/>
            <w:tcMar>
              <w:left w:w="51" w:type="dxa"/>
              <w:right w:w="51" w:type="dxa"/>
            </w:tcMar>
            <w:vAlign w:val="center"/>
          </w:tcPr>
          <w:p w14:paraId="55662CD6">
            <w:pPr>
              <w:widowControl/>
              <w:spacing w:line="240" w:lineRule="auto"/>
              <w:ind w:firstLine="0" w:firstLineChars="0"/>
              <w:jc w:val="left"/>
              <w:rPr>
                <w:rFonts w:eastAsia="等线" w:cs="Times New Roman"/>
                <w:kern w:val="0"/>
                <w:sz w:val="22"/>
              </w:rPr>
            </w:pPr>
            <w:r>
              <w:rPr>
                <w:rFonts w:hint="eastAsia" w:ascii="宋体" w:hAnsi="宋体" w:cs="Times New Roman"/>
                <w:kern w:val="0"/>
                <w:sz w:val="22"/>
              </w:rPr>
              <w:t>江滨中大道→连江中路→排尾路→六一中路</w:t>
            </w:r>
          </w:p>
        </w:tc>
        <w:tc>
          <w:tcPr>
            <w:tcW w:w="1512" w:type="dxa"/>
            <w:tcBorders>
              <w:top w:val="nil"/>
              <w:left w:val="nil"/>
              <w:bottom w:val="single" w:color="auto" w:sz="4" w:space="0"/>
              <w:right w:val="single" w:color="auto" w:sz="4" w:space="0"/>
            </w:tcBorders>
            <w:shd w:val="clear" w:color="auto" w:fill="auto"/>
            <w:noWrap/>
            <w:tcMar>
              <w:left w:w="51" w:type="dxa"/>
              <w:right w:w="51" w:type="dxa"/>
            </w:tcMar>
            <w:vAlign w:val="center"/>
          </w:tcPr>
          <w:p w14:paraId="4BD2DFCA">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0.3704 </w:t>
            </w:r>
          </w:p>
        </w:tc>
      </w:tr>
      <w:tr w14:paraId="6D225FD3">
        <w:tblPrEx>
          <w:tblCellMar>
            <w:top w:w="0" w:type="dxa"/>
            <w:left w:w="108" w:type="dxa"/>
            <w:bottom w:w="0" w:type="dxa"/>
            <w:right w:w="108" w:type="dxa"/>
          </w:tblCellMar>
        </w:tblPrEx>
        <w:trPr>
          <w:trHeight w:val="823" w:hRule="atLeast"/>
        </w:trPr>
        <w:tc>
          <w:tcPr>
            <w:tcW w:w="1413" w:type="dxa"/>
            <w:tcBorders>
              <w:top w:val="nil"/>
              <w:left w:val="single" w:color="auto" w:sz="4" w:space="0"/>
              <w:bottom w:val="single" w:color="auto" w:sz="4" w:space="0"/>
              <w:right w:val="single" w:color="auto" w:sz="4" w:space="0"/>
            </w:tcBorders>
            <w:shd w:val="clear" w:color="auto" w:fill="auto"/>
            <w:noWrap/>
            <w:tcMar>
              <w:left w:w="51" w:type="dxa"/>
              <w:right w:w="51" w:type="dxa"/>
            </w:tcMar>
            <w:vAlign w:val="center"/>
          </w:tcPr>
          <w:p w14:paraId="77F55D3B">
            <w:pPr>
              <w:widowControl/>
              <w:spacing w:line="240" w:lineRule="auto"/>
              <w:ind w:firstLine="0" w:firstLineChars="0"/>
              <w:jc w:val="center"/>
              <w:rPr>
                <w:rFonts w:eastAsia="等线" w:cs="Times New Roman"/>
                <w:kern w:val="0"/>
                <w:sz w:val="22"/>
              </w:rPr>
            </w:pPr>
            <w:r>
              <w:rPr>
                <w:rFonts w:eastAsia="等线" w:cs="Times New Roman"/>
                <w:kern w:val="0"/>
                <w:sz w:val="22"/>
              </w:rPr>
              <w:t>JZQ010</w:t>
            </w:r>
          </w:p>
        </w:tc>
        <w:tc>
          <w:tcPr>
            <w:tcW w:w="3121" w:type="dxa"/>
            <w:tcBorders>
              <w:top w:val="nil"/>
              <w:left w:val="nil"/>
              <w:bottom w:val="single" w:color="auto" w:sz="4" w:space="0"/>
              <w:right w:val="single" w:color="auto" w:sz="4" w:space="0"/>
            </w:tcBorders>
            <w:shd w:val="clear" w:color="auto" w:fill="auto"/>
            <w:tcMar>
              <w:left w:w="51" w:type="dxa"/>
              <w:right w:w="51" w:type="dxa"/>
            </w:tcMar>
            <w:vAlign w:val="center"/>
          </w:tcPr>
          <w:p w14:paraId="1B069480">
            <w:pPr>
              <w:widowControl/>
              <w:spacing w:line="240" w:lineRule="auto"/>
              <w:ind w:firstLine="0" w:firstLineChars="0"/>
              <w:jc w:val="center"/>
              <w:rPr>
                <w:rFonts w:eastAsia="等线" w:cs="Times New Roman"/>
                <w:kern w:val="0"/>
                <w:sz w:val="22"/>
              </w:rPr>
            </w:pPr>
            <w:r>
              <w:rPr>
                <w:rFonts w:hint="eastAsia" w:ascii="宋体" w:hAnsi="宋体" w:cs="Times New Roman"/>
                <w:kern w:val="0"/>
                <w:sz w:val="22"/>
              </w:rPr>
              <w:t>中庚香江万里区域</w:t>
            </w:r>
          </w:p>
        </w:tc>
        <w:tc>
          <w:tcPr>
            <w:tcW w:w="8512" w:type="dxa"/>
            <w:tcBorders>
              <w:top w:val="nil"/>
              <w:left w:val="nil"/>
              <w:bottom w:val="single" w:color="auto" w:sz="4" w:space="0"/>
              <w:right w:val="single" w:color="auto" w:sz="4" w:space="0"/>
            </w:tcBorders>
            <w:shd w:val="clear" w:color="auto" w:fill="auto"/>
            <w:tcMar>
              <w:left w:w="51" w:type="dxa"/>
              <w:right w:w="51" w:type="dxa"/>
            </w:tcMar>
            <w:vAlign w:val="center"/>
          </w:tcPr>
          <w:p w14:paraId="667BB3E9">
            <w:pPr>
              <w:widowControl/>
              <w:spacing w:line="240" w:lineRule="auto"/>
              <w:ind w:firstLine="0" w:firstLineChars="0"/>
              <w:jc w:val="left"/>
              <w:rPr>
                <w:rFonts w:eastAsia="等线" w:cs="Times New Roman"/>
                <w:kern w:val="0"/>
                <w:sz w:val="22"/>
              </w:rPr>
            </w:pPr>
            <w:r>
              <w:rPr>
                <w:rFonts w:hint="eastAsia" w:ascii="宋体" w:hAnsi="宋体" w:cs="Times New Roman"/>
                <w:kern w:val="0"/>
                <w:sz w:val="22"/>
              </w:rPr>
              <w:t>鳌峰路→鳌江路→南光明港路→榕信东苑北区（东、北西）边界→南光明港路→连江中路→鳌兴路→光明路→榕江新天地（北、西）边界</w:t>
            </w:r>
          </w:p>
        </w:tc>
        <w:tc>
          <w:tcPr>
            <w:tcW w:w="1512" w:type="dxa"/>
            <w:tcBorders>
              <w:top w:val="nil"/>
              <w:left w:val="nil"/>
              <w:bottom w:val="single" w:color="auto" w:sz="4" w:space="0"/>
              <w:right w:val="single" w:color="auto" w:sz="4" w:space="0"/>
            </w:tcBorders>
            <w:shd w:val="clear" w:color="auto" w:fill="auto"/>
            <w:noWrap/>
            <w:tcMar>
              <w:left w:w="51" w:type="dxa"/>
              <w:right w:w="51" w:type="dxa"/>
            </w:tcMar>
            <w:vAlign w:val="center"/>
          </w:tcPr>
          <w:p w14:paraId="32B1E170">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0.3432 </w:t>
            </w:r>
          </w:p>
        </w:tc>
      </w:tr>
      <w:tr w14:paraId="01493518">
        <w:tblPrEx>
          <w:tblCellMar>
            <w:top w:w="0" w:type="dxa"/>
            <w:left w:w="108" w:type="dxa"/>
            <w:bottom w:w="0" w:type="dxa"/>
            <w:right w:w="108" w:type="dxa"/>
          </w:tblCellMar>
        </w:tblPrEx>
        <w:trPr>
          <w:trHeight w:val="456" w:hRule="atLeast"/>
        </w:trPr>
        <w:tc>
          <w:tcPr>
            <w:tcW w:w="1413" w:type="dxa"/>
            <w:tcBorders>
              <w:top w:val="nil"/>
              <w:left w:val="single" w:color="auto" w:sz="4" w:space="0"/>
              <w:bottom w:val="single" w:color="auto" w:sz="4" w:space="0"/>
              <w:right w:val="single" w:color="auto" w:sz="4" w:space="0"/>
            </w:tcBorders>
            <w:shd w:val="clear" w:color="auto" w:fill="auto"/>
            <w:noWrap/>
            <w:tcMar>
              <w:left w:w="51" w:type="dxa"/>
              <w:right w:w="51" w:type="dxa"/>
            </w:tcMar>
            <w:vAlign w:val="center"/>
          </w:tcPr>
          <w:p w14:paraId="5AC30F32">
            <w:pPr>
              <w:widowControl/>
              <w:spacing w:line="240" w:lineRule="auto"/>
              <w:ind w:firstLine="0" w:firstLineChars="0"/>
              <w:jc w:val="center"/>
              <w:rPr>
                <w:rFonts w:eastAsia="等线" w:cs="Times New Roman"/>
                <w:kern w:val="0"/>
                <w:sz w:val="22"/>
              </w:rPr>
            </w:pPr>
            <w:r>
              <w:rPr>
                <w:rFonts w:eastAsia="等线" w:cs="Times New Roman"/>
                <w:kern w:val="0"/>
                <w:sz w:val="22"/>
              </w:rPr>
              <w:t>JZQ011</w:t>
            </w:r>
          </w:p>
        </w:tc>
        <w:tc>
          <w:tcPr>
            <w:tcW w:w="3121" w:type="dxa"/>
            <w:tcBorders>
              <w:top w:val="nil"/>
              <w:left w:val="nil"/>
              <w:bottom w:val="single" w:color="auto" w:sz="4" w:space="0"/>
              <w:right w:val="single" w:color="auto" w:sz="4" w:space="0"/>
            </w:tcBorders>
            <w:shd w:val="clear" w:color="auto" w:fill="auto"/>
            <w:tcMar>
              <w:left w:w="51" w:type="dxa"/>
              <w:right w:w="51" w:type="dxa"/>
            </w:tcMar>
            <w:vAlign w:val="center"/>
          </w:tcPr>
          <w:p w14:paraId="082AE096">
            <w:pPr>
              <w:widowControl/>
              <w:spacing w:line="240" w:lineRule="auto"/>
              <w:ind w:firstLine="0" w:firstLineChars="0"/>
              <w:jc w:val="center"/>
              <w:rPr>
                <w:rFonts w:eastAsia="等线" w:cs="Times New Roman"/>
                <w:kern w:val="0"/>
                <w:sz w:val="22"/>
              </w:rPr>
            </w:pPr>
            <w:r>
              <w:rPr>
                <w:rFonts w:hint="eastAsia" w:ascii="宋体" w:hAnsi="宋体" w:cs="Times New Roman"/>
                <w:kern w:val="0"/>
                <w:sz w:val="22"/>
              </w:rPr>
              <w:t>阳光城凡尔赛宫区域</w:t>
            </w:r>
          </w:p>
        </w:tc>
        <w:tc>
          <w:tcPr>
            <w:tcW w:w="8512" w:type="dxa"/>
            <w:tcBorders>
              <w:top w:val="nil"/>
              <w:left w:val="nil"/>
              <w:bottom w:val="single" w:color="auto" w:sz="4" w:space="0"/>
              <w:right w:val="single" w:color="auto" w:sz="4" w:space="0"/>
            </w:tcBorders>
            <w:shd w:val="clear" w:color="auto" w:fill="auto"/>
            <w:tcMar>
              <w:left w:w="51" w:type="dxa"/>
              <w:right w:w="51" w:type="dxa"/>
            </w:tcMar>
            <w:vAlign w:val="center"/>
          </w:tcPr>
          <w:p w14:paraId="6FF691C9">
            <w:pPr>
              <w:widowControl/>
              <w:spacing w:line="240" w:lineRule="auto"/>
              <w:ind w:firstLine="0" w:firstLineChars="0"/>
              <w:jc w:val="left"/>
              <w:rPr>
                <w:rFonts w:eastAsia="等线" w:cs="Times New Roman"/>
                <w:kern w:val="0"/>
                <w:sz w:val="22"/>
              </w:rPr>
            </w:pPr>
            <w:r>
              <w:rPr>
                <w:rFonts w:hint="eastAsia" w:ascii="宋体" w:hAnsi="宋体" w:cs="Times New Roman"/>
                <w:kern w:val="0"/>
                <w:sz w:val="22"/>
              </w:rPr>
              <w:t>鳌峰路→鳌港路→南光明港路→鳌江路</w:t>
            </w:r>
          </w:p>
        </w:tc>
        <w:tc>
          <w:tcPr>
            <w:tcW w:w="1512" w:type="dxa"/>
            <w:tcBorders>
              <w:top w:val="nil"/>
              <w:left w:val="nil"/>
              <w:bottom w:val="single" w:color="auto" w:sz="4" w:space="0"/>
              <w:right w:val="single" w:color="auto" w:sz="4" w:space="0"/>
            </w:tcBorders>
            <w:shd w:val="clear" w:color="auto" w:fill="auto"/>
            <w:noWrap/>
            <w:tcMar>
              <w:left w:w="51" w:type="dxa"/>
              <w:right w:w="51" w:type="dxa"/>
            </w:tcMar>
            <w:vAlign w:val="center"/>
          </w:tcPr>
          <w:p w14:paraId="6143CE2B">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1.2647 </w:t>
            </w:r>
          </w:p>
        </w:tc>
      </w:tr>
      <w:tr w14:paraId="54240DBB">
        <w:tblPrEx>
          <w:tblCellMar>
            <w:top w:w="0" w:type="dxa"/>
            <w:left w:w="108" w:type="dxa"/>
            <w:bottom w:w="0" w:type="dxa"/>
            <w:right w:w="108" w:type="dxa"/>
          </w:tblCellMar>
        </w:tblPrEx>
        <w:trPr>
          <w:trHeight w:val="456" w:hRule="atLeast"/>
        </w:trPr>
        <w:tc>
          <w:tcPr>
            <w:tcW w:w="1413" w:type="dxa"/>
            <w:tcBorders>
              <w:top w:val="nil"/>
              <w:left w:val="single" w:color="auto" w:sz="4" w:space="0"/>
              <w:bottom w:val="single" w:color="auto" w:sz="4" w:space="0"/>
              <w:right w:val="single" w:color="auto" w:sz="4" w:space="0"/>
            </w:tcBorders>
            <w:shd w:val="clear" w:color="auto" w:fill="auto"/>
            <w:noWrap/>
            <w:tcMar>
              <w:left w:w="51" w:type="dxa"/>
              <w:right w:w="51" w:type="dxa"/>
            </w:tcMar>
            <w:vAlign w:val="center"/>
          </w:tcPr>
          <w:p w14:paraId="70869BA7">
            <w:pPr>
              <w:widowControl/>
              <w:spacing w:line="240" w:lineRule="auto"/>
              <w:ind w:firstLine="0" w:firstLineChars="0"/>
              <w:jc w:val="center"/>
              <w:rPr>
                <w:rFonts w:eastAsia="等线" w:cs="Times New Roman"/>
                <w:kern w:val="0"/>
                <w:sz w:val="22"/>
              </w:rPr>
            </w:pPr>
            <w:r>
              <w:rPr>
                <w:rFonts w:eastAsia="等线" w:cs="Times New Roman"/>
                <w:kern w:val="0"/>
                <w:sz w:val="22"/>
              </w:rPr>
              <w:t>JZQ012</w:t>
            </w:r>
          </w:p>
        </w:tc>
        <w:tc>
          <w:tcPr>
            <w:tcW w:w="3121" w:type="dxa"/>
            <w:tcBorders>
              <w:top w:val="nil"/>
              <w:left w:val="nil"/>
              <w:bottom w:val="single" w:color="auto" w:sz="4" w:space="0"/>
              <w:right w:val="single" w:color="auto" w:sz="4" w:space="0"/>
            </w:tcBorders>
            <w:shd w:val="clear" w:color="auto" w:fill="auto"/>
            <w:tcMar>
              <w:left w:w="51" w:type="dxa"/>
              <w:right w:w="51" w:type="dxa"/>
            </w:tcMar>
            <w:vAlign w:val="center"/>
          </w:tcPr>
          <w:p w14:paraId="770E4FE0">
            <w:pPr>
              <w:widowControl/>
              <w:spacing w:line="240" w:lineRule="auto"/>
              <w:ind w:firstLine="0" w:firstLineChars="0"/>
              <w:jc w:val="center"/>
              <w:rPr>
                <w:rFonts w:eastAsia="等线" w:cs="Times New Roman"/>
                <w:kern w:val="0"/>
                <w:sz w:val="22"/>
              </w:rPr>
            </w:pPr>
            <w:r>
              <w:rPr>
                <w:rFonts w:hint="eastAsia" w:ascii="宋体" w:hAnsi="宋体" w:cs="Times New Roman"/>
                <w:kern w:val="0"/>
                <w:sz w:val="22"/>
              </w:rPr>
              <w:t>海润滨江花园区域</w:t>
            </w:r>
          </w:p>
        </w:tc>
        <w:tc>
          <w:tcPr>
            <w:tcW w:w="8512" w:type="dxa"/>
            <w:tcBorders>
              <w:top w:val="nil"/>
              <w:left w:val="nil"/>
              <w:bottom w:val="single" w:color="auto" w:sz="4" w:space="0"/>
              <w:right w:val="single" w:color="auto" w:sz="4" w:space="0"/>
            </w:tcBorders>
            <w:shd w:val="clear" w:color="auto" w:fill="auto"/>
            <w:tcMar>
              <w:left w:w="51" w:type="dxa"/>
              <w:right w:w="51" w:type="dxa"/>
            </w:tcMar>
            <w:vAlign w:val="center"/>
          </w:tcPr>
          <w:p w14:paraId="7B1B33A4">
            <w:pPr>
              <w:widowControl/>
              <w:spacing w:line="240" w:lineRule="auto"/>
              <w:ind w:firstLine="0" w:firstLineChars="0"/>
              <w:jc w:val="left"/>
              <w:rPr>
                <w:rFonts w:eastAsia="等线" w:cs="Times New Roman"/>
                <w:kern w:val="0"/>
                <w:sz w:val="22"/>
              </w:rPr>
            </w:pPr>
            <w:r>
              <w:rPr>
                <w:rFonts w:hint="eastAsia" w:ascii="宋体" w:hAnsi="宋体" w:cs="Times New Roman"/>
                <w:kern w:val="0"/>
                <w:sz w:val="22"/>
              </w:rPr>
              <w:t>江滨中大道→二环快速路→鳌峰路→鳌江路</w:t>
            </w:r>
          </w:p>
        </w:tc>
        <w:tc>
          <w:tcPr>
            <w:tcW w:w="1512" w:type="dxa"/>
            <w:tcBorders>
              <w:top w:val="nil"/>
              <w:left w:val="nil"/>
              <w:bottom w:val="single" w:color="auto" w:sz="4" w:space="0"/>
              <w:right w:val="single" w:color="auto" w:sz="4" w:space="0"/>
            </w:tcBorders>
            <w:shd w:val="clear" w:color="auto" w:fill="auto"/>
            <w:noWrap/>
            <w:tcMar>
              <w:left w:w="51" w:type="dxa"/>
              <w:right w:w="51" w:type="dxa"/>
            </w:tcMar>
            <w:vAlign w:val="center"/>
          </w:tcPr>
          <w:p w14:paraId="5D9910BD">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0.7239 </w:t>
            </w:r>
          </w:p>
        </w:tc>
      </w:tr>
      <w:tr w14:paraId="5B0093BA">
        <w:tblPrEx>
          <w:tblCellMar>
            <w:top w:w="0" w:type="dxa"/>
            <w:left w:w="108" w:type="dxa"/>
            <w:bottom w:w="0" w:type="dxa"/>
            <w:right w:w="108" w:type="dxa"/>
          </w:tblCellMar>
        </w:tblPrEx>
        <w:trPr>
          <w:trHeight w:val="456" w:hRule="atLeast"/>
        </w:trPr>
        <w:tc>
          <w:tcPr>
            <w:tcW w:w="1413" w:type="dxa"/>
            <w:tcBorders>
              <w:top w:val="nil"/>
              <w:left w:val="single" w:color="auto" w:sz="4" w:space="0"/>
              <w:bottom w:val="single" w:color="auto" w:sz="4" w:space="0"/>
              <w:right w:val="single" w:color="auto" w:sz="4" w:space="0"/>
            </w:tcBorders>
            <w:shd w:val="clear" w:color="auto" w:fill="auto"/>
            <w:noWrap/>
            <w:tcMar>
              <w:left w:w="51" w:type="dxa"/>
              <w:right w:w="51" w:type="dxa"/>
            </w:tcMar>
            <w:vAlign w:val="center"/>
          </w:tcPr>
          <w:p w14:paraId="062FAE6E">
            <w:pPr>
              <w:widowControl/>
              <w:spacing w:line="240" w:lineRule="auto"/>
              <w:ind w:firstLine="0" w:firstLineChars="0"/>
              <w:jc w:val="center"/>
              <w:rPr>
                <w:rFonts w:eastAsia="等线" w:cs="Times New Roman"/>
                <w:kern w:val="0"/>
                <w:sz w:val="22"/>
              </w:rPr>
            </w:pPr>
            <w:r>
              <w:rPr>
                <w:rFonts w:eastAsia="等线" w:cs="Times New Roman"/>
                <w:kern w:val="0"/>
                <w:sz w:val="22"/>
              </w:rPr>
              <w:t>JZQ013</w:t>
            </w:r>
          </w:p>
        </w:tc>
        <w:tc>
          <w:tcPr>
            <w:tcW w:w="3121" w:type="dxa"/>
            <w:tcBorders>
              <w:top w:val="nil"/>
              <w:left w:val="nil"/>
              <w:bottom w:val="single" w:color="auto" w:sz="4" w:space="0"/>
              <w:right w:val="single" w:color="auto" w:sz="4" w:space="0"/>
            </w:tcBorders>
            <w:shd w:val="clear" w:color="auto" w:fill="auto"/>
            <w:tcMar>
              <w:left w:w="51" w:type="dxa"/>
              <w:right w:w="51" w:type="dxa"/>
            </w:tcMar>
            <w:vAlign w:val="center"/>
          </w:tcPr>
          <w:p w14:paraId="6E437039">
            <w:pPr>
              <w:widowControl/>
              <w:spacing w:line="240" w:lineRule="auto"/>
              <w:ind w:firstLine="0" w:firstLineChars="0"/>
              <w:jc w:val="center"/>
              <w:rPr>
                <w:rFonts w:eastAsia="等线" w:cs="Times New Roman"/>
                <w:kern w:val="0"/>
                <w:sz w:val="22"/>
              </w:rPr>
            </w:pPr>
            <w:r>
              <w:rPr>
                <w:rFonts w:hint="eastAsia" w:ascii="宋体" w:hAnsi="宋体" w:cs="Times New Roman"/>
                <w:kern w:val="0"/>
                <w:sz w:val="22"/>
              </w:rPr>
              <w:t>万科金融港区域</w:t>
            </w:r>
          </w:p>
        </w:tc>
        <w:tc>
          <w:tcPr>
            <w:tcW w:w="8512" w:type="dxa"/>
            <w:tcBorders>
              <w:top w:val="nil"/>
              <w:left w:val="nil"/>
              <w:bottom w:val="single" w:color="auto" w:sz="4" w:space="0"/>
              <w:right w:val="single" w:color="auto" w:sz="4" w:space="0"/>
            </w:tcBorders>
            <w:shd w:val="clear" w:color="auto" w:fill="auto"/>
            <w:tcMar>
              <w:left w:w="51" w:type="dxa"/>
              <w:right w:w="51" w:type="dxa"/>
            </w:tcMar>
            <w:vAlign w:val="center"/>
          </w:tcPr>
          <w:p w14:paraId="2C3538BD">
            <w:pPr>
              <w:widowControl/>
              <w:spacing w:line="240" w:lineRule="auto"/>
              <w:ind w:firstLine="0" w:firstLineChars="0"/>
              <w:jc w:val="left"/>
              <w:rPr>
                <w:rFonts w:eastAsia="等线" w:cs="Times New Roman"/>
                <w:kern w:val="0"/>
                <w:sz w:val="22"/>
              </w:rPr>
            </w:pPr>
            <w:r>
              <w:rPr>
                <w:rFonts w:hint="eastAsia" w:ascii="宋体" w:hAnsi="宋体" w:cs="Times New Roman"/>
                <w:kern w:val="0"/>
                <w:sz w:val="22"/>
              </w:rPr>
              <w:t>江滨中大道→鳌港路→万科金融港北侧边界→二环快速路</w:t>
            </w:r>
          </w:p>
        </w:tc>
        <w:tc>
          <w:tcPr>
            <w:tcW w:w="1512" w:type="dxa"/>
            <w:tcBorders>
              <w:top w:val="nil"/>
              <w:left w:val="nil"/>
              <w:bottom w:val="single" w:color="auto" w:sz="4" w:space="0"/>
              <w:right w:val="single" w:color="auto" w:sz="4" w:space="0"/>
            </w:tcBorders>
            <w:shd w:val="clear" w:color="auto" w:fill="auto"/>
            <w:noWrap/>
            <w:tcMar>
              <w:left w:w="51" w:type="dxa"/>
              <w:right w:w="51" w:type="dxa"/>
            </w:tcMar>
            <w:vAlign w:val="center"/>
          </w:tcPr>
          <w:p w14:paraId="10CE7238">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0.1513 </w:t>
            </w:r>
          </w:p>
        </w:tc>
      </w:tr>
    </w:tbl>
    <w:p w14:paraId="00A7E04D">
      <w:pPr>
        <w:ind w:firstLine="0" w:firstLineChars="0"/>
      </w:pPr>
    </w:p>
    <w:p w14:paraId="085ACB0B">
      <w:pPr>
        <w:ind w:firstLine="0" w:firstLineChars="0"/>
        <w:sectPr>
          <w:pgSz w:w="16838" w:h="11906" w:orient="landscape"/>
          <w:pgMar w:top="1134" w:right="1134" w:bottom="1134" w:left="1134" w:header="851" w:footer="992" w:gutter="0"/>
          <w:cols w:space="425" w:num="1"/>
          <w:docGrid w:type="lines" w:linePitch="326" w:charSpace="0"/>
        </w:sectPr>
      </w:pPr>
    </w:p>
    <w:p w14:paraId="2087F22F">
      <w:pPr>
        <w:pStyle w:val="2"/>
      </w:pPr>
      <w:r>
        <w:rPr>
          <w:rFonts w:hint="eastAsia"/>
        </w:rPr>
        <w:t>附图</w:t>
      </w:r>
    </w:p>
    <w:p w14:paraId="2A43E483">
      <w:pPr>
        <w:spacing w:line="240" w:lineRule="auto"/>
        <w:ind w:firstLine="141" w:firstLineChars="59"/>
        <w:jc w:val="center"/>
        <w:sectPr>
          <w:pgSz w:w="23811" w:h="16838" w:orient="landscape"/>
          <w:pgMar w:top="709" w:right="1134" w:bottom="709" w:left="1134" w:header="851" w:footer="992" w:gutter="0"/>
          <w:cols w:space="425" w:num="1"/>
          <w:docGrid w:type="lines" w:linePitch="326" w:charSpace="0"/>
        </w:sectPr>
      </w:pPr>
      <w:r>
        <w:drawing>
          <wp:inline distT="0" distB="0" distL="0" distR="0">
            <wp:extent cx="10615295" cy="84937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617784" cy="849585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t xml:space="preserve">  </w:t>
      </w:r>
      <w:r>
        <w:rPr>
          <w:rFonts w:hint="eastAsia"/>
        </w:rPr>
        <w:t xml:space="preserve"> </w:t>
      </w:r>
      <w:r>
        <w:t xml:space="preserve"> </w:t>
      </w:r>
    </w:p>
    <w:p w14:paraId="537C8E62">
      <w:pPr>
        <w:pStyle w:val="2"/>
      </w:pPr>
      <w:r>
        <w:rPr>
          <w:rFonts w:hint="eastAsia"/>
        </w:rPr>
        <w:t>附件</w:t>
      </w:r>
    </w:p>
    <w:p w14:paraId="6C6F2DD3">
      <w:pPr>
        <w:spacing w:line="240" w:lineRule="auto"/>
        <w:ind w:firstLine="0" w:firstLineChars="0"/>
        <w:jc w:val="center"/>
      </w:pPr>
      <w:r>
        <w:drawing>
          <wp:inline distT="0" distB="0" distL="0" distR="0">
            <wp:extent cx="5234305" cy="7442200"/>
            <wp:effectExtent l="0" t="0" r="4445"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
                    <a:stretch>
                      <a:fillRect/>
                    </a:stretch>
                  </pic:blipFill>
                  <pic:spPr>
                    <a:xfrm>
                      <a:off x="0" y="0"/>
                      <a:ext cx="5245140" cy="7457241"/>
                    </a:xfrm>
                    <a:prstGeom prst="rect">
                      <a:avLst/>
                    </a:prstGeom>
                  </pic:spPr>
                </pic:pic>
              </a:graphicData>
            </a:graphic>
          </wp:inline>
        </w:drawing>
      </w:r>
      <w:r>
        <w:rPr>
          <w:rFonts w:hint="eastAsia"/>
        </w:rPr>
        <w:t xml:space="preserve"> </w:t>
      </w:r>
      <w:r>
        <w:t xml:space="preserve">  </w:t>
      </w:r>
    </w:p>
    <w:p w14:paraId="20B83D79">
      <w:pPr>
        <w:spacing w:line="240" w:lineRule="auto"/>
        <w:ind w:firstLine="0" w:firstLineChars="0"/>
        <w:jc w:val="center"/>
        <w:sectPr>
          <w:pgSz w:w="11906" w:h="16838"/>
          <w:pgMar w:top="1440" w:right="1800" w:bottom="1440" w:left="1800" w:header="851" w:footer="992" w:gutter="0"/>
          <w:cols w:space="425" w:num="1"/>
          <w:docGrid w:type="lines" w:linePitch="326" w:charSpace="0"/>
        </w:sectPr>
      </w:pPr>
    </w:p>
    <w:p w14:paraId="626914C0">
      <w:pPr>
        <w:spacing w:line="240" w:lineRule="auto"/>
        <w:ind w:firstLine="0" w:firstLineChars="0"/>
        <w:jc w:val="center"/>
      </w:pPr>
    </w:p>
    <w:p w14:paraId="744E077A">
      <w:pPr>
        <w:spacing w:line="240" w:lineRule="auto"/>
        <w:ind w:firstLine="0" w:firstLineChars="0"/>
        <w:jc w:val="center"/>
      </w:pPr>
      <w:r>
        <w:drawing>
          <wp:inline distT="0" distB="0" distL="0" distR="0">
            <wp:extent cx="11592560" cy="8016875"/>
            <wp:effectExtent l="0" t="0" r="889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l="3145" t="1154" b="4131"/>
                    <a:stretch>
                      <a:fillRect/>
                    </a:stretch>
                  </pic:blipFill>
                  <pic:spPr>
                    <a:xfrm>
                      <a:off x="0" y="0"/>
                      <a:ext cx="11622511" cy="8037784"/>
                    </a:xfrm>
                    <a:prstGeom prst="rect">
                      <a:avLst/>
                    </a:prstGeom>
                    <a:noFill/>
                    <a:ln>
                      <a:noFill/>
                    </a:ln>
                  </pic:spPr>
                </pic:pic>
              </a:graphicData>
            </a:graphic>
          </wp:inline>
        </w:drawing>
      </w:r>
    </w:p>
    <w:sectPr>
      <w:pgSz w:w="23811" w:h="16838" w:orient="landscape"/>
      <w:pgMar w:top="1800" w:right="1440" w:bottom="1800" w:left="144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CE6D4">
    <w:pPr>
      <w:pStyle w:val="12"/>
      <w:ind w:firstLine="360"/>
      <w:jc w:val="center"/>
    </w:pPr>
  </w:p>
  <w:p w14:paraId="01301436">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D4DF6">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E9C9A">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8601803"/>
      <w:docPartObj>
        <w:docPartGallery w:val="autotext"/>
      </w:docPartObj>
    </w:sdtPr>
    <w:sdtContent>
      <w:p w14:paraId="7050D4B6">
        <w:pPr>
          <w:pStyle w:val="12"/>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504CC5"/>
    <w:multiLevelType w:val="multilevel"/>
    <w:tmpl w:val="4D504CC5"/>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tabs>
          <w:tab w:val="left" w:pos="567"/>
        </w:tabs>
        <w:ind w:left="567" w:hanging="567"/>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tabs>
          <w:tab w:val="left" w:pos="709"/>
        </w:tabs>
        <w:ind w:left="709" w:hanging="709"/>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pStyle w:val="5"/>
      <w:lvlText w:val="%1.%2.%3.%4"/>
      <w:lvlJc w:val="left"/>
      <w:pPr>
        <w:tabs>
          <w:tab w:val="left" w:pos="851"/>
        </w:tabs>
        <w:ind w:left="851" w:hanging="851"/>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ind w:left="2551" w:hanging="850"/>
      </w:p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F4A0FEA"/>
    <w:multiLevelType w:val="multilevel"/>
    <w:tmpl w:val="4F4A0FEA"/>
    <w:lvl w:ilvl="0" w:tentative="0">
      <w:start w:val="1"/>
      <w:numFmt w:val="decimal"/>
      <w:isLgl/>
      <w:suff w:val="space"/>
      <w:lvlText w:val="%1"/>
      <w:lvlJc w:val="left"/>
      <w:pPr>
        <w:ind w:left="0" w:firstLine="0"/>
      </w:pPr>
      <w:rPr>
        <w:rFonts w:hint="eastAsia" w:eastAsia="黑体"/>
        <w:b/>
        <w:i w:val="0"/>
        <w:sz w:val="32"/>
      </w:rPr>
    </w:lvl>
    <w:lvl w:ilvl="1" w:tentative="0">
      <w:start w:val="1"/>
      <w:numFmt w:val="decimal"/>
      <w:suff w:val="space"/>
      <w:lvlText w:val="%1.%2"/>
      <w:lvlJc w:val="left"/>
      <w:pPr>
        <w:ind w:left="0" w:firstLine="0"/>
      </w:pPr>
      <w:rPr>
        <w:rFonts w:hint="eastAsia" w:eastAsia="黑体"/>
        <w:b/>
        <w:i w:val="0"/>
        <w:sz w:val="30"/>
      </w:rPr>
    </w:lvl>
    <w:lvl w:ilvl="2" w:tentative="0">
      <w:start w:val="1"/>
      <w:numFmt w:val="decimal"/>
      <w:suff w:val="space"/>
      <w:lvlText w:val="%1.%2.%3"/>
      <w:lvlJc w:val="left"/>
      <w:pPr>
        <w:ind w:left="0" w:firstLine="0"/>
      </w:pPr>
      <w:rPr>
        <w:rFonts w:hint="eastAsia" w:eastAsia="宋体"/>
        <w:b/>
        <w:i w:val="0"/>
        <w:sz w:val="28"/>
      </w:rPr>
    </w:lvl>
    <w:lvl w:ilvl="3" w:tentative="0">
      <w:start w:val="1"/>
      <w:numFmt w:val="decimal"/>
      <w:pStyle w:val="45"/>
      <w:suff w:val="space"/>
      <w:lvlText w:val="%1.%2.%3.%4"/>
      <w:lvlJc w:val="left"/>
      <w:pPr>
        <w:ind w:left="0" w:firstLine="0"/>
      </w:pPr>
      <w:rPr>
        <w:rFonts w:hint="eastAsia" w:eastAsia="宋体"/>
        <w:b/>
        <w:i w:val="0"/>
        <w:sz w:val="24"/>
      </w:rPr>
    </w:lvl>
    <w:lvl w:ilvl="4" w:tentative="0">
      <w:start w:val="1"/>
      <w:numFmt w:val="decimal"/>
      <w:suff w:val="space"/>
      <w:lvlText w:val=" ( %5 )"/>
      <w:lvlJc w:val="left"/>
      <w:pPr>
        <w:ind w:left="0" w:firstLine="0"/>
      </w:pPr>
      <w:rPr>
        <w:rFonts w:hint="eastAsia"/>
        <w:b/>
        <w:i w:val="0"/>
        <w:sz w:val="24"/>
      </w:rPr>
    </w:lvl>
    <w:lvl w:ilvl="5" w:tentative="0">
      <w:start w:val="1"/>
      <w:numFmt w:val="decimalEnclosedCircle"/>
      <w:suff w:val="space"/>
      <w:lvlText w:val="%6"/>
      <w:lvlJc w:val="left"/>
      <w:pPr>
        <w:ind w:left="0" w:firstLine="0"/>
      </w:pPr>
      <w:rPr>
        <w:rFonts w:hint="eastAsia"/>
      </w:rPr>
    </w:lvl>
    <w:lvl w:ilvl="6" w:tentative="0">
      <w:start w:val="1"/>
      <w:numFmt w:val="decimal"/>
      <w:lvlText w:val="%1.%2.%3.%4.%5.%6.%7"/>
      <w:lvlJc w:val="left"/>
      <w:pPr>
        <w:tabs>
          <w:tab w:val="left" w:pos="4315"/>
        </w:tabs>
        <w:ind w:left="4315" w:hanging="1276"/>
      </w:pPr>
      <w:rPr>
        <w:rFonts w:hint="eastAsia"/>
      </w:rPr>
    </w:lvl>
    <w:lvl w:ilvl="7" w:tentative="0">
      <w:start w:val="1"/>
      <w:numFmt w:val="decimal"/>
      <w:lvlText w:val="%1.%2.%3.%4.%5.%6.%7.%8"/>
      <w:lvlJc w:val="left"/>
      <w:pPr>
        <w:tabs>
          <w:tab w:val="left" w:pos="4882"/>
        </w:tabs>
        <w:ind w:left="4882" w:hanging="1418"/>
      </w:pPr>
      <w:rPr>
        <w:rFonts w:hint="eastAsia"/>
      </w:rPr>
    </w:lvl>
    <w:lvl w:ilvl="8" w:tentative="0">
      <w:start w:val="1"/>
      <w:numFmt w:val="decimal"/>
      <w:lvlText w:val="%1.%2.%3.%4.%5.%6.%7.%8.%9"/>
      <w:lvlJc w:val="left"/>
      <w:pPr>
        <w:tabs>
          <w:tab w:val="left" w:pos="5590"/>
        </w:tabs>
        <w:ind w:left="5590" w:hanging="1700"/>
      </w:pPr>
      <w:rPr>
        <w:rFonts w:hint="eastAsia"/>
      </w:rPr>
    </w:lvl>
  </w:abstractNum>
  <w:abstractNum w:abstractNumId="2">
    <w:nsid w:val="55F43DA3"/>
    <w:multiLevelType w:val="multilevel"/>
    <w:tmpl w:val="55F43DA3"/>
    <w:lvl w:ilvl="0" w:tentative="0">
      <w:start w:val="1"/>
      <w:numFmt w:val="decimal"/>
      <w:suff w:val="nothing"/>
      <w:lvlText w:val="（%1）"/>
      <w:lvlJc w:val="left"/>
      <w:pPr>
        <w:ind w:left="900" w:hanging="420"/>
      </w:pPr>
      <w:rPr>
        <w:rFonts w:hint="eastAsia" w:ascii="宋体" w:hAnsi="宋体" w:eastAsia="宋体"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zMTVjNGJlNGY4OTZlOGQwYjZlMTcxMGI3ODhkNDkifQ=="/>
  </w:docVars>
  <w:rsids>
    <w:rsidRoot w:val="004D1588"/>
    <w:rsid w:val="00020951"/>
    <w:rsid w:val="000337E5"/>
    <w:rsid w:val="00037E22"/>
    <w:rsid w:val="0004013B"/>
    <w:rsid w:val="000542B9"/>
    <w:rsid w:val="000550CB"/>
    <w:rsid w:val="000569C6"/>
    <w:rsid w:val="0007798B"/>
    <w:rsid w:val="000901F0"/>
    <w:rsid w:val="000A057C"/>
    <w:rsid w:val="000A70DA"/>
    <w:rsid w:val="000F1CE3"/>
    <w:rsid w:val="00107292"/>
    <w:rsid w:val="00120BC4"/>
    <w:rsid w:val="0012113B"/>
    <w:rsid w:val="00123D80"/>
    <w:rsid w:val="00125B57"/>
    <w:rsid w:val="00134AEB"/>
    <w:rsid w:val="00136F8F"/>
    <w:rsid w:val="001468C7"/>
    <w:rsid w:val="001715CE"/>
    <w:rsid w:val="00173CF6"/>
    <w:rsid w:val="00196945"/>
    <w:rsid w:val="001A0CE3"/>
    <w:rsid w:val="001B01D1"/>
    <w:rsid w:val="001B353B"/>
    <w:rsid w:val="001D1302"/>
    <w:rsid w:val="001E03D0"/>
    <w:rsid w:val="001E191C"/>
    <w:rsid w:val="001E559A"/>
    <w:rsid w:val="001F5763"/>
    <w:rsid w:val="00200624"/>
    <w:rsid w:val="00202E88"/>
    <w:rsid w:val="0020672B"/>
    <w:rsid w:val="00212B54"/>
    <w:rsid w:val="002240B3"/>
    <w:rsid w:val="00241532"/>
    <w:rsid w:val="002471A1"/>
    <w:rsid w:val="0025397A"/>
    <w:rsid w:val="002549A0"/>
    <w:rsid w:val="00261892"/>
    <w:rsid w:val="00270931"/>
    <w:rsid w:val="002743BF"/>
    <w:rsid w:val="0027478D"/>
    <w:rsid w:val="002867E8"/>
    <w:rsid w:val="002A3838"/>
    <w:rsid w:val="002A7124"/>
    <w:rsid w:val="002C2F70"/>
    <w:rsid w:val="002C3A13"/>
    <w:rsid w:val="002C4710"/>
    <w:rsid w:val="002D3135"/>
    <w:rsid w:val="002D3D8C"/>
    <w:rsid w:val="002D7E8C"/>
    <w:rsid w:val="002E2C37"/>
    <w:rsid w:val="00306912"/>
    <w:rsid w:val="003103AA"/>
    <w:rsid w:val="00310B99"/>
    <w:rsid w:val="003127B5"/>
    <w:rsid w:val="0032618D"/>
    <w:rsid w:val="00332329"/>
    <w:rsid w:val="00334515"/>
    <w:rsid w:val="00344691"/>
    <w:rsid w:val="00347DD6"/>
    <w:rsid w:val="00353947"/>
    <w:rsid w:val="00360F5A"/>
    <w:rsid w:val="00361D8E"/>
    <w:rsid w:val="00362258"/>
    <w:rsid w:val="0036711D"/>
    <w:rsid w:val="00372B7B"/>
    <w:rsid w:val="003814AF"/>
    <w:rsid w:val="00394365"/>
    <w:rsid w:val="00397E70"/>
    <w:rsid w:val="003A34DE"/>
    <w:rsid w:val="003A65BE"/>
    <w:rsid w:val="003B1922"/>
    <w:rsid w:val="003B4424"/>
    <w:rsid w:val="003D0FC4"/>
    <w:rsid w:val="003D3A00"/>
    <w:rsid w:val="003E4E87"/>
    <w:rsid w:val="00403F2C"/>
    <w:rsid w:val="00405CD2"/>
    <w:rsid w:val="00407EBC"/>
    <w:rsid w:val="004121FC"/>
    <w:rsid w:val="004175D6"/>
    <w:rsid w:val="00430ABD"/>
    <w:rsid w:val="004319E4"/>
    <w:rsid w:val="00436A20"/>
    <w:rsid w:val="00483329"/>
    <w:rsid w:val="00491BE3"/>
    <w:rsid w:val="004D1588"/>
    <w:rsid w:val="004D4477"/>
    <w:rsid w:val="004D6778"/>
    <w:rsid w:val="004F6095"/>
    <w:rsid w:val="004F6103"/>
    <w:rsid w:val="00506F86"/>
    <w:rsid w:val="005123A9"/>
    <w:rsid w:val="005263B0"/>
    <w:rsid w:val="005354F4"/>
    <w:rsid w:val="0054153D"/>
    <w:rsid w:val="00541C30"/>
    <w:rsid w:val="00557575"/>
    <w:rsid w:val="00565792"/>
    <w:rsid w:val="0057016B"/>
    <w:rsid w:val="00573DE1"/>
    <w:rsid w:val="005818B3"/>
    <w:rsid w:val="005909A3"/>
    <w:rsid w:val="0059351E"/>
    <w:rsid w:val="00595DA7"/>
    <w:rsid w:val="005A55F1"/>
    <w:rsid w:val="005B60E4"/>
    <w:rsid w:val="005C401D"/>
    <w:rsid w:val="005C5999"/>
    <w:rsid w:val="005D4077"/>
    <w:rsid w:val="00617DED"/>
    <w:rsid w:val="006235D8"/>
    <w:rsid w:val="00631FE3"/>
    <w:rsid w:val="0063601C"/>
    <w:rsid w:val="00662E3C"/>
    <w:rsid w:val="00671601"/>
    <w:rsid w:val="00673C73"/>
    <w:rsid w:val="00686468"/>
    <w:rsid w:val="00692409"/>
    <w:rsid w:val="00696DAB"/>
    <w:rsid w:val="0069709F"/>
    <w:rsid w:val="006A0A3C"/>
    <w:rsid w:val="006A4936"/>
    <w:rsid w:val="006E1877"/>
    <w:rsid w:val="006E5AB7"/>
    <w:rsid w:val="0071014B"/>
    <w:rsid w:val="00716013"/>
    <w:rsid w:val="00732E3D"/>
    <w:rsid w:val="00741B62"/>
    <w:rsid w:val="00745985"/>
    <w:rsid w:val="00746420"/>
    <w:rsid w:val="00747344"/>
    <w:rsid w:val="00750C34"/>
    <w:rsid w:val="00756269"/>
    <w:rsid w:val="00756C59"/>
    <w:rsid w:val="0076347F"/>
    <w:rsid w:val="0077778B"/>
    <w:rsid w:val="00790C84"/>
    <w:rsid w:val="007C05A6"/>
    <w:rsid w:val="007C7BA9"/>
    <w:rsid w:val="007F52FE"/>
    <w:rsid w:val="008152AA"/>
    <w:rsid w:val="00854FFF"/>
    <w:rsid w:val="00855C81"/>
    <w:rsid w:val="00856D65"/>
    <w:rsid w:val="008632E3"/>
    <w:rsid w:val="00882767"/>
    <w:rsid w:val="008852AD"/>
    <w:rsid w:val="008858B9"/>
    <w:rsid w:val="008B4347"/>
    <w:rsid w:val="008D618A"/>
    <w:rsid w:val="008D73EF"/>
    <w:rsid w:val="008D78F9"/>
    <w:rsid w:val="008E1796"/>
    <w:rsid w:val="008E464F"/>
    <w:rsid w:val="00900D67"/>
    <w:rsid w:val="00911804"/>
    <w:rsid w:val="009373EB"/>
    <w:rsid w:val="00945443"/>
    <w:rsid w:val="00953616"/>
    <w:rsid w:val="00966897"/>
    <w:rsid w:val="00970351"/>
    <w:rsid w:val="0097296F"/>
    <w:rsid w:val="00981809"/>
    <w:rsid w:val="009819B2"/>
    <w:rsid w:val="00991698"/>
    <w:rsid w:val="0099716E"/>
    <w:rsid w:val="009A0326"/>
    <w:rsid w:val="009A27ED"/>
    <w:rsid w:val="009B3BC8"/>
    <w:rsid w:val="009B665C"/>
    <w:rsid w:val="009D1E27"/>
    <w:rsid w:val="009E530B"/>
    <w:rsid w:val="00A01B33"/>
    <w:rsid w:val="00A02D9A"/>
    <w:rsid w:val="00A343CA"/>
    <w:rsid w:val="00A4691A"/>
    <w:rsid w:val="00A51C38"/>
    <w:rsid w:val="00A63295"/>
    <w:rsid w:val="00A864DD"/>
    <w:rsid w:val="00AA66BE"/>
    <w:rsid w:val="00AB63EE"/>
    <w:rsid w:val="00AC0430"/>
    <w:rsid w:val="00AC4EB7"/>
    <w:rsid w:val="00AD1665"/>
    <w:rsid w:val="00AE2043"/>
    <w:rsid w:val="00AF3A03"/>
    <w:rsid w:val="00AF5BFE"/>
    <w:rsid w:val="00AF6FE8"/>
    <w:rsid w:val="00B01FBC"/>
    <w:rsid w:val="00B04B57"/>
    <w:rsid w:val="00B06803"/>
    <w:rsid w:val="00B068DA"/>
    <w:rsid w:val="00B07E53"/>
    <w:rsid w:val="00B10535"/>
    <w:rsid w:val="00B108FF"/>
    <w:rsid w:val="00B10A1D"/>
    <w:rsid w:val="00B14D8C"/>
    <w:rsid w:val="00B17208"/>
    <w:rsid w:val="00B220A8"/>
    <w:rsid w:val="00B336AD"/>
    <w:rsid w:val="00B50F64"/>
    <w:rsid w:val="00B5116B"/>
    <w:rsid w:val="00B772FC"/>
    <w:rsid w:val="00BA5FA5"/>
    <w:rsid w:val="00BB0FE1"/>
    <w:rsid w:val="00BE1227"/>
    <w:rsid w:val="00BE3376"/>
    <w:rsid w:val="00BF013C"/>
    <w:rsid w:val="00BF14EC"/>
    <w:rsid w:val="00BF2DC8"/>
    <w:rsid w:val="00C04229"/>
    <w:rsid w:val="00C134CC"/>
    <w:rsid w:val="00C22AA0"/>
    <w:rsid w:val="00C4175D"/>
    <w:rsid w:val="00C452DD"/>
    <w:rsid w:val="00C4786C"/>
    <w:rsid w:val="00C50F7C"/>
    <w:rsid w:val="00C6049C"/>
    <w:rsid w:val="00C605C7"/>
    <w:rsid w:val="00C6314B"/>
    <w:rsid w:val="00C737C7"/>
    <w:rsid w:val="00C773D2"/>
    <w:rsid w:val="00C870F6"/>
    <w:rsid w:val="00C9247B"/>
    <w:rsid w:val="00C96EF2"/>
    <w:rsid w:val="00CB3C40"/>
    <w:rsid w:val="00CC7D1F"/>
    <w:rsid w:val="00CD0555"/>
    <w:rsid w:val="00CE02D0"/>
    <w:rsid w:val="00CF54A9"/>
    <w:rsid w:val="00D03EE6"/>
    <w:rsid w:val="00D20A5A"/>
    <w:rsid w:val="00D22B89"/>
    <w:rsid w:val="00D30558"/>
    <w:rsid w:val="00D417A5"/>
    <w:rsid w:val="00D4462D"/>
    <w:rsid w:val="00D448D5"/>
    <w:rsid w:val="00D50847"/>
    <w:rsid w:val="00D54818"/>
    <w:rsid w:val="00D63DEA"/>
    <w:rsid w:val="00D65034"/>
    <w:rsid w:val="00D728A9"/>
    <w:rsid w:val="00D869BA"/>
    <w:rsid w:val="00D9152D"/>
    <w:rsid w:val="00DA1789"/>
    <w:rsid w:val="00DA2B8A"/>
    <w:rsid w:val="00DB4E69"/>
    <w:rsid w:val="00DD031D"/>
    <w:rsid w:val="00DD164B"/>
    <w:rsid w:val="00DE64BE"/>
    <w:rsid w:val="00DE73E1"/>
    <w:rsid w:val="00E158F5"/>
    <w:rsid w:val="00E31342"/>
    <w:rsid w:val="00E36A58"/>
    <w:rsid w:val="00E419B9"/>
    <w:rsid w:val="00E450CF"/>
    <w:rsid w:val="00E61BC9"/>
    <w:rsid w:val="00E62C57"/>
    <w:rsid w:val="00E6436D"/>
    <w:rsid w:val="00E76CEE"/>
    <w:rsid w:val="00E87FC4"/>
    <w:rsid w:val="00EA4928"/>
    <w:rsid w:val="00EB53D2"/>
    <w:rsid w:val="00EC7DC6"/>
    <w:rsid w:val="00ED185F"/>
    <w:rsid w:val="00F2591E"/>
    <w:rsid w:val="00F37B98"/>
    <w:rsid w:val="00F423B9"/>
    <w:rsid w:val="00F44E7B"/>
    <w:rsid w:val="00F61BE6"/>
    <w:rsid w:val="00F86BFA"/>
    <w:rsid w:val="00F948F5"/>
    <w:rsid w:val="00F949E1"/>
    <w:rsid w:val="00FA40B3"/>
    <w:rsid w:val="00FD6843"/>
    <w:rsid w:val="00FE6502"/>
    <w:rsid w:val="00FF3A7B"/>
    <w:rsid w:val="0AB81D7F"/>
    <w:rsid w:val="21131DEB"/>
    <w:rsid w:val="21905B79"/>
    <w:rsid w:val="33E6071E"/>
    <w:rsid w:val="41431821"/>
    <w:rsid w:val="44E20CE5"/>
    <w:rsid w:val="532312DE"/>
    <w:rsid w:val="5A1D69CB"/>
    <w:rsid w:val="66124E2B"/>
    <w:rsid w:val="78FB3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qFormat="1"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qFormat="1"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uiPriority="99" w:semiHidden="0"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qFormat="1"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8"/>
    <w:qFormat/>
    <w:uiPriority w:val="9"/>
    <w:pPr>
      <w:keepNext/>
      <w:keepLines/>
      <w:numPr>
        <w:ilvl w:val="0"/>
        <w:numId w:val="1"/>
      </w:numPr>
      <w:spacing w:before="180" w:after="180"/>
      <w:ind w:left="0" w:firstLine="0" w:firstLineChars="0"/>
      <w:outlineLvl w:val="0"/>
    </w:pPr>
    <w:rPr>
      <w:rFonts w:eastAsia="黑体"/>
      <w:b/>
      <w:bCs/>
      <w:kern w:val="44"/>
      <w:sz w:val="44"/>
      <w:szCs w:val="44"/>
    </w:rPr>
  </w:style>
  <w:style w:type="paragraph" w:styleId="3">
    <w:name w:val="heading 2"/>
    <w:basedOn w:val="1"/>
    <w:next w:val="1"/>
    <w:link w:val="28"/>
    <w:autoRedefine/>
    <w:unhideWhenUsed/>
    <w:qFormat/>
    <w:uiPriority w:val="9"/>
    <w:pPr>
      <w:keepNext/>
      <w:keepLines/>
      <w:numPr>
        <w:ilvl w:val="1"/>
        <w:numId w:val="1"/>
      </w:numPr>
      <w:spacing w:before="120" w:after="120"/>
      <w:ind w:left="0" w:firstLine="0" w:firstLineChars="0"/>
      <w:outlineLvl w:val="1"/>
    </w:pPr>
    <w:rPr>
      <w:rFonts w:eastAsia="楷体" w:cstheme="majorBidi"/>
      <w:b/>
      <w:bCs/>
      <w:sz w:val="32"/>
      <w:szCs w:val="32"/>
    </w:rPr>
  </w:style>
  <w:style w:type="paragraph" w:styleId="4">
    <w:name w:val="heading 3"/>
    <w:basedOn w:val="1"/>
    <w:next w:val="1"/>
    <w:link w:val="29"/>
    <w:autoRedefine/>
    <w:unhideWhenUsed/>
    <w:qFormat/>
    <w:uiPriority w:val="9"/>
    <w:pPr>
      <w:keepNext/>
      <w:keepLines/>
      <w:numPr>
        <w:ilvl w:val="2"/>
        <w:numId w:val="1"/>
      </w:numPr>
      <w:ind w:left="0" w:firstLine="0" w:firstLineChars="0"/>
      <w:outlineLvl w:val="2"/>
    </w:pPr>
    <w:rPr>
      <w:b/>
      <w:bCs/>
      <w:sz w:val="28"/>
      <w:szCs w:val="32"/>
    </w:rPr>
  </w:style>
  <w:style w:type="paragraph" w:styleId="5">
    <w:name w:val="heading 4"/>
    <w:basedOn w:val="1"/>
    <w:next w:val="1"/>
    <w:link w:val="30"/>
    <w:autoRedefine/>
    <w:unhideWhenUsed/>
    <w:qFormat/>
    <w:uiPriority w:val="9"/>
    <w:pPr>
      <w:keepNext/>
      <w:keepLines/>
      <w:numPr>
        <w:ilvl w:val="3"/>
        <w:numId w:val="1"/>
      </w:numPr>
      <w:spacing w:before="40" w:after="40"/>
      <w:ind w:left="0" w:firstLine="0" w:firstLineChars="0"/>
      <w:outlineLvl w:val="3"/>
    </w:pPr>
    <w:rPr>
      <w:rFonts w:cstheme="majorBidi"/>
      <w:b/>
      <w:bCs/>
      <w:szCs w:val="28"/>
    </w:rPr>
  </w:style>
  <w:style w:type="paragraph" w:styleId="6">
    <w:name w:val="heading 5"/>
    <w:basedOn w:val="1"/>
    <w:next w:val="1"/>
    <w:link w:val="31"/>
    <w:autoRedefine/>
    <w:unhideWhenUsed/>
    <w:qFormat/>
    <w:uiPriority w:val="9"/>
    <w:pPr>
      <w:keepNext/>
      <w:keepLines/>
      <w:numPr>
        <w:ilvl w:val="4"/>
        <w:numId w:val="1"/>
      </w:numPr>
      <w:adjustRightInd w:val="0"/>
      <w:ind w:left="0" w:firstLine="0" w:firstLineChars="0"/>
      <w:jc w:val="left"/>
      <w:outlineLvl w:val="4"/>
    </w:pPr>
    <w:rPr>
      <w:bCs/>
      <w:szCs w:val="28"/>
    </w:rPr>
  </w:style>
  <w:style w:type="paragraph" w:styleId="7">
    <w:name w:val="heading 6"/>
    <w:basedOn w:val="1"/>
    <w:next w:val="1"/>
    <w:link w:val="32"/>
    <w:autoRedefine/>
    <w:semiHidden/>
    <w:unhideWhenUsed/>
    <w:qFormat/>
    <w:uiPriority w:val="9"/>
    <w:pPr>
      <w:spacing w:before="2"/>
      <w:ind w:left="1060"/>
      <w:outlineLvl w:val="5"/>
    </w:pPr>
    <w:rPr>
      <w:rFonts w:ascii="宋体" w:hAnsi="宋体" w:cs="宋体"/>
      <w:b/>
      <w:bCs/>
      <w:szCs w:val="24"/>
      <w:lang w:val="zh-CN" w:bidi="zh-CN"/>
    </w:rPr>
  </w:style>
  <w:style w:type="paragraph" w:styleId="8">
    <w:name w:val="heading 7"/>
    <w:basedOn w:val="1"/>
    <w:next w:val="1"/>
    <w:autoRedefine/>
    <w:semiHidden/>
    <w:unhideWhenUsed/>
    <w:qFormat/>
    <w:uiPriority w:val="9"/>
    <w:pPr>
      <w:outlineLvl w:val="6"/>
    </w:pPr>
    <w:rPr>
      <w:rFonts w:ascii="宋体" w:hAnsi="宋体" w:cs="宋体"/>
      <w:b/>
      <w:bCs/>
      <w:szCs w:val="24"/>
    </w:rPr>
  </w:style>
  <w:style w:type="paragraph" w:styleId="9">
    <w:name w:val="heading 8"/>
    <w:basedOn w:val="1"/>
    <w:next w:val="1"/>
    <w:link w:val="39"/>
    <w:autoRedefine/>
    <w:semiHidden/>
    <w:unhideWhenUsed/>
    <w:qFormat/>
    <w:uiPriority w:val="9"/>
    <w:pPr>
      <w:keepNext/>
      <w:keepLines/>
      <w:spacing w:before="240" w:after="64" w:line="320" w:lineRule="auto"/>
      <w:outlineLvl w:val="7"/>
    </w:pPr>
    <w:rPr>
      <w:rFonts w:asciiTheme="majorHAnsi" w:hAnsiTheme="majorHAnsi" w:eastAsiaTheme="majorEastAsia" w:cstheme="majorBidi"/>
      <w:szCs w:val="24"/>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10">
    <w:name w:val="caption"/>
    <w:basedOn w:val="1"/>
    <w:next w:val="1"/>
    <w:link w:val="42"/>
    <w:unhideWhenUsed/>
    <w:qFormat/>
    <w:uiPriority w:val="35"/>
    <w:pPr>
      <w:ind w:firstLine="0" w:firstLineChars="0"/>
      <w:jc w:val="center"/>
    </w:pPr>
    <w:rPr>
      <w:rFonts w:eastAsia="黑体" w:asciiTheme="majorHAnsi" w:hAnsiTheme="majorHAnsi" w:cstheme="majorBidi"/>
      <w:sz w:val="20"/>
      <w:szCs w:val="20"/>
    </w:rPr>
  </w:style>
  <w:style w:type="paragraph" w:styleId="11">
    <w:name w:val="annotation text"/>
    <w:basedOn w:val="1"/>
    <w:link w:val="40"/>
    <w:semiHidden/>
    <w:unhideWhenUsed/>
    <w:qFormat/>
    <w:uiPriority w:val="99"/>
    <w:pPr>
      <w:jc w:val="left"/>
    </w:pPr>
  </w:style>
  <w:style w:type="paragraph" w:styleId="12">
    <w:name w:val="footer"/>
    <w:basedOn w:val="1"/>
    <w:link w:val="24"/>
    <w:unhideWhenUsed/>
    <w:qFormat/>
    <w:uiPriority w:val="99"/>
    <w:pPr>
      <w:tabs>
        <w:tab w:val="center" w:pos="4153"/>
        <w:tab w:val="right" w:pos="8306"/>
      </w:tabs>
      <w:snapToGrid w:val="0"/>
      <w:spacing w:line="240" w:lineRule="auto"/>
      <w:jc w:val="left"/>
    </w:pPr>
    <w:rPr>
      <w:sz w:val="18"/>
      <w:szCs w:val="18"/>
    </w:rPr>
  </w:style>
  <w:style w:type="paragraph" w:styleId="13">
    <w:name w:val="header"/>
    <w:basedOn w:val="1"/>
    <w:link w:val="33"/>
    <w:autoRedefine/>
    <w:unhideWhenUsed/>
    <w:qFormat/>
    <w:uiPriority w:val="99"/>
    <w:pPr>
      <w:pBdr>
        <w:bottom w:val="single" w:color="auto" w:sz="6" w:space="1"/>
      </w:pBdr>
      <w:tabs>
        <w:tab w:val="center" w:pos="4153"/>
        <w:tab w:val="right" w:pos="8306"/>
      </w:tabs>
      <w:snapToGrid w:val="0"/>
      <w:ind w:firstLine="360"/>
      <w:jc w:val="center"/>
    </w:pPr>
    <w:rPr>
      <w:sz w:val="18"/>
      <w:szCs w:val="18"/>
    </w:rPr>
  </w:style>
  <w:style w:type="paragraph" w:styleId="14">
    <w:name w:val="toc 1"/>
    <w:basedOn w:val="1"/>
    <w:next w:val="1"/>
    <w:autoRedefine/>
    <w:unhideWhenUsed/>
    <w:qFormat/>
    <w:uiPriority w:val="39"/>
  </w:style>
  <w:style w:type="paragraph" w:styleId="15">
    <w:name w:val="toc 2"/>
    <w:basedOn w:val="1"/>
    <w:next w:val="1"/>
    <w:autoRedefine/>
    <w:unhideWhenUsed/>
    <w:qFormat/>
    <w:uiPriority w:val="39"/>
    <w:pPr>
      <w:tabs>
        <w:tab w:val="left" w:pos="1680"/>
        <w:tab w:val="right" w:leader="dot" w:pos="9060"/>
      </w:tabs>
      <w:ind w:left="480" w:leftChars="200"/>
    </w:pPr>
  </w:style>
  <w:style w:type="paragraph" w:styleId="16">
    <w:name w:val="Title"/>
    <w:basedOn w:val="1"/>
    <w:next w:val="1"/>
    <w:link w:val="34"/>
    <w:autoRedefine/>
    <w:qFormat/>
    <w:uiPriority w:val="10"/>
    <w:pPr>
      <w:widowControl/>
      <w:ind w:firstLine="0" w:firstLineChars="0"/>
      <w:jc w:val="center"/>
    </w:pPr>
    <w:rPr>
      <w:rFonts w:ascii="华文中宋" w:eastAsia="华文中宋" w:cs="Times New Roman"/>
      <w:b/>
      <w:kern w:val="0"/>
      <w:sz w:val="44"/>
      <w:szCs w:val="44"/>
    </w:rPr>
  </w:style>
  <w:style w:type="table" w:styleId="18">
    <w:name w:val="Table Grid"/>
    <w:basedOn w:val="1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semiHidden/>
    <w:unhideWhenUsed/>
    <w:qFormat/>
    <w:uiPriority w:val="99"/>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styleId="22">
    <w:name w:val="annotation reference"/>
    <w:basedOn w:val="19"/>
    <w:semiHidden/>
    <w:unhideWhenUsed/>
    <w:qFormat/>
    <w:uiPriority w:val="99"/>
    <w:rPr>
      <w:sz w:val="21"/>
      <w:szCs w:val="21"/>
    </w:rPr>
  </w:style>
  <w:style w:type="paragraph" w:styleId="23">
    <w:name w:val="List Paragraph"/>
    <w:basedOn w:val="1"/>
    <w:semiHidden/>
    <w:qFormat/>
    <w:uiPriority w:val="34"/>
    <w:pPr>
      <w:ind w:firstLine="420"/>
    </w:pPr>
  </w:style>
  <w:style w:type="character" w:customStyle="1" w:styleId="24">
    <w:name w:val="页脚 字符"/>
    <w:basedOn w:val="19"/>
    <w:link w:val="12"/>
    <w:qFormat/>
    <w:uiPriority w:val="99"/>
    <w:rPr>
      <w:rFonts w:ascii="Times New Roman" w:hAnsi="Times New Roman" w:eastAsia="宋体"/>
      <w:kern w:val="2"/>
      <w:sz w:val="18"/>
      <w:szCs w:val="18"/>
    </w:rPr>
  </w:style>
  <w:style w:type="paragraph" w:customStyle="1" w:styleId="25">
    <w:name w:val="tu"/>
    <w:basedOn w:val="1"/>
    <w:link w:val="26"/>
    <w:autoRedefine/>
    <w:qFormat/>
    <w:uiPriority w:val="94"/>
    <w:pPr>
      <w:keepNext/>
      <w:spacing w:line="240" w:lineRule="auto"/>
      <w:ind w:firstLine="0" w:firstLineChars="0"/>
      <w:jc w:val="center"/>
    </w:pPr>
    <w:rPr>
      <w:sz w:val="21"/>
    </w:rPr>
  </w:style>
  <w:style w:type="character" w:customStyle="1" w:styleId="26">
    <w:name w:val="tu 字符"/>
    <w:basedOn w:val="19"/>
    <w:link w:val="25"/>
    <w:uiPriority w:val="94"/>
    <w:rPr>
      <w:rFonts w:ascii="Times New Roman" w:hAnsi="Times New Roman" w:eastAsia="宋体"/>
      <w:kern w:val="2"/>
      <w:sz w:val="21"/>
      <w:szCs w:val="22"/>
    </w:rPr>
  </w:style>
  <w:style w:type="paragraph" w:customStyle="1" w:styleId="27">
    <w:name w:val="B表格-莆田高新区"/>
    <w:basedOn w:val="2"/>
    <w:link w:val="44"/>
    <w:uiPriority w:val="0"/>
    <w:pPr>
      <w:outlineLvl w:val="9"/>
    </w:pPr>
  </w:style>
  <w:style w:type="character" w:customStyle="1" w:styleId="28">
    <w:name w:val="标题 2 字符"/>
    <w:basedOn w:val="19"/>
    <w:link w:val="3"/>
    <w:autoRedefine/>
    <w:qFormat/>
    <w:uiPriority w:val="9"/>
    <w:rPr>
      <w:rFonts w:ascii="Times New Roman" w:hAnsi="Times New Roman" w:eastAsia="楷体" w:cstheme="majorBidi"/>
      <w:b/>
      <w:bCs/>
      <w:kern w:val="2"/>
      <w:sz w:val="32"/>
      <w:szCs w:val="32"/>
    </w:rPr>
  </w:style>
  <w:style w:type="character" w:customStyle="1" w:styleId="29">
    <w:name w:val="标题 3 字符"/>
    <w:basedOn w:val="19"/>
    <w:link w:val="4"/>
    <w:autoRedefine/>
    <w:qFormat/>
    <w:uiPriority w:val="9"/>
    <w:rPr>
      <w:rFonts w:ascii="Times New Roman" w:hAnsi="Times New Roman" w:eastAsia="宋体"/>
      <w:b/>
      <w:bCs/>
      <w:kern w:val="2"/>
      <w:sz w:val="28"/>
      <w:szCs w:val="32"/>
    </w:rPr>
  </w:style>
  <w:style w:type="character" w:customStyle="1" w:styleId="30">
    <w:name w:val="标题 4 字符"/>
    <w:basedOn w:val="19"/>
    <w:link w:val="5"/>
    <w:autoRedefine/>
    <w:qFormat/>
    <w:uiPriority w:val="9"/>
    <w:rPr>
      <w:rFonts w:ascii="Times New Roman" w:hAnsi="Times New Roman" w:eastAsia="宋体" w:cstheme="majorBidi"/>
      <w:b/>
      <w:bCs/>
      <w:kern w:val="2"/>
      <w:sz w:val="24"/>
      <w:szCs w:val="28"/>
    </w:rPr>
  </w:style>
  <w:style w:type="character" w:customStyle="1" w:styleId="31">
    <w:name w:val="标题 5 字符"/>
    <w:basedOn w:val="19"/>
    <w:link w:val="6"/>
    <w:autoRedefine/>
    <w:qFormat/>
    <w:uiPriority w:val="9"/>
    <w:rPr>
      <w:rFonts w:ascii="Times New Roman" w:hAnsi="Times New Roman" w:eastAsia="宋体"/>
      <w:bCs/>
      <w:kern w:val="2"/>
      <w:sz w:val="24"/>
      <w:szCs w:val="28"/>
    </w:rPr>
  </w:style>
  <w:style w:type="character" w:customStyle="1" w:styleId="32">
    <w:name w:val="标题 6 字符"/>
    <w:basedOn w:val="19"/>
    <w:link w:val="7"/>
    <w:autoRedefine/>
    <w:qFormat/>
    <w:uiPriority w:val="9"/>
    <w:rPr>
      <w:rFonts w:ascii="宋体" w:hAnsi="宋体" w:eastAsia="宋体" w:cs="宋体"/>
      <w:b/>
      <w:bCs/>
      <w:sz w:val="24"/>
      <w:szCs w:val="24"/>
      <w:lang w:val="zh-CN" w:bidi="zh-CN"/>
    </w:rPr>
  </w:style>
  <w:style w:type="character" w:customStyle="1" w:styleId="33">
    <w:name w:val="页眉 字符"/>
    <w:basedOn w:val="19"/>
    <w:link w:val="13"/>
    <w:autoRedefine/>
    <w:qFormat/>
    <w:uiPriority w:val="99"/>
    <w:rPr>
      <w:rFonts w:ascii="Times New Roman" w:hAnsi="Times New Roman" w:eastAsia="宋体"/>
      <w:kern w:val="2"/>
      <w:sz w:val="18"/>
      <w:szCs w:val="18"/>
    </w:rPr>
  </w:style>
  <w:style w:type="character" w:customStyle="1" w:styleId="34">
    <w:name w:val="标题 字符"/>
    <w:basedOn w:val="19"/>
    <w:link w:val="16"/>
    <w:autoRedefine/>
    <w:qFormat/>
    <w:uiPriority w:val="10"/>
    <w:rPr>
      <w:rFonts w:ascii="华文中宋" w:hAnsi="Times New Roman" w:eastAsia="华文中宋" w:cs="Times New Roman"/>
      <w:b/>
      <w:sz w:val="44"/>
      <w:szCs w:val="44"/>
    </w:rPr>
  </w:style>
  <w:style w:type="paragraph" w:customStyle="1" w:styleId="35">
    <w:name w:val="修订1"/>
    <w:autoRedefine/>
    <w:hidden/>
    <w:qFormat/>
    <w:uiPriority w:val="99"/>
    <w:rPr>
      <w:rFonts w:asciiTheme="minorHAnsi" w:hAnsiTheme="minorHAnsi" w:eastAsiaTheme="minorEastAsia" w:cstheme="minorBidi"/>
      <w:kern w:val="2"/>
      <w:sz w:val="21"/>
      <w:szCs w:val="22"/>
      <w:lang w:val="en-US" w:eastAsia="zh-CN" w:bidi="ar-SA"/>
    </w:rPr>
  </w:style>
  <w:style w:type="paragraph" w:customStyle="1" w:styleId="36">
    <w:name w:val="修订2"/>
    <w:hidden/>
    <w:unhideWhenUsed/>
    <w:uiPriority w:val="99"/>
    <w:rPr>
      <w:rFonts w:asciiTheme="minorHAnsi" w:hAnsiTheme="minorHAnsi" w:eastAsiaTheme="minorEastAsia" w:cstheme="minorBidi"/>
      <w:kern w:val="2"/>
      <w:sz w:val="21"/>
      <w:szCs w:val="22"/>
      <w:lang w:val="en-US" w:eastAsia="zh-CN" w:bidi="ar-SA"/>
    </w:rPr>
  </w:style>
  <w:style w:type="paragraph" w:customStyle="1" w:styleId="37">
    <w:name w:val="修订21"/>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8">
    <w:name w:val="标题 1 字符"/>
    <w:link w:val="2"/>
    <w:autoRedefine/>
    <w:qFormat/>
    <w:uiPriority w:val="9"/>
    <w:rPr>
      <w:rFonts w:ascii="Times New Roman" w:hAnsi="Times New Roman" w:eastAsia="黑体"/>
      <w:b/>
      <w:bCs/>
      <w:kern w:val="44"/>
      <w:sz w:val="44"/>
      <w:szCs w:val="44"/>
    </w:rPr>
  </w:style>
  <w:style w:type="character" w:customStyle="1" w:styleId="39">
    <w:name w:val="标题 8 字符"/>
    <w:basedOn w:val="19"/>
    <w:link w:val="9"/>
    <w:autoRedefine/>
    <w:semiHidden/>
    <w:qFormat/>
    <w:uiPriority w:val="0"/>
    <w:rPr>
      <w:rFonts w:asciiTheme="majorHAnsi" w:hAnsiTheme="majorHAnsi" w:eastAsiaTheme="majorEastAsia" w:cstheme="majorBidi"/>
    </w:rPr>
  </w:style>
  <w:style w:type="character" w:customStyle="1" w:styleId="40">
    <w:name w:val="批注文字 字符"/>
    <w:basedOn w:val="19"/>
    <w:link w:val="11"/>
    <w:semiHidden/>
    <w:qFormat/>
    <w:uiPriority w:val="99"/>
    <w:rPr>
      <w:rFonts w:ascii="Times New Roman" w:hAnsi="Times New Roman" w:eastAsia="宋体"/>
      <w:kern w:val="2"/>
      <w:sz w:val="24"/>
      <w:szCs w:val="22"/>
    </w:rPr>
  </w:style>
  <w:style w:type="paragraph" w:customStyle="1" w:styleId="41">
    <w:name w:val="B题注与下段同页"/>
    <w:basedOn w:val="10"/>
    <w:link w:val="43"/>
    <w:uiPriority w:val="0"/>
    <w:pPr>
      <w:keepNext/>
    </w:pPr>
  </w:style>
  <w:style w:type="character" w:customStyle="1" w:styleId="42">
    <w:name w:val="题注 字符"/>
    <w:basedOn w:val="19"/>
    <w:link w:val="10"/>
    <w:qFormat/>
    <w:uiPriority w:val="35"/>
    <w:rPr>
      <w:rFonts w:eastAsia="黑体" w:asciiTheme="majorHAnsi" w:hAnsiTheme="majorHAnsi" w:cstheme="majorBidi"/>
      <w:kern w:val="2"/>
    </w:rPr>
  </w:style>
  <w:style w:type="character" w:customStyle="1" w:styleId="43">
    <w:name w:val="B题注与下段同页 字符"/>
    <w:basedOn w:val="42"/>
    <w:link w:val="41"/>
    <w:qFormat/>
    <w:uiPriority w:val="0"/>
    <w:rPr>
      <w:rFonts w:eastAsia="黑体" w:asciiTheme="majorHAnsi" w:hAnsiTheme="majorHAnsi" w:cstheme="majorBidi"/>
      <w:kern w:val="2"/>
    </w:rPr>
  </w:style>
  <w:style w:type="character" w:customStyle="1" w:styleId="44">
    <w:name w:val="B表格-莆田高新区 Char"/>
    <w:link w:val="27"/>
    <w:uiPriority w:val="0"/>
    <w:rPr>
      <w:rFonts w:ascii="Times New Roman" w:hAnsi="Times New Roman" w:eastAsia="黑体"/>
      <w:b/>
      <w:bCs/>
      <w:kern w:val="44"/>
      <w:sz w:val="44"/>
      <w:szCs w:val="44"/>
    </w:rPr>
  </w:style>
  <w:style w:type="paragraph" w:customStyle="1" w:styleId="45">
    <w:name w:val="样式 标题 4标题 4（241）¶Î段H4h4 sub sub heading. (A.)款标题1.1.1.1条..."/>
    <w:basedOn w:val="5"/>
    <w:autoRedefine/>
    <w:uiPriority w:val="0"/>
    <w:pPr>
      <w:numPr>
        <w:numId w:val="2"/>
      </w:numPr>
      <w:tabs>
        <w:tab w:val="left" w:pos="0"/>
        <w:tab w:val="clear" w:pos="851"/>
      </w:tabs>
      <w:adjustRightInd w:val="0"/>
      <w:spacing w:before="120" w:beforeLines="50" w:after="120" w:afterLines="50" w:line="240" w:lineRule="auto"/>
      <w:jc w:val="left"/>
    </w:pPr>
    <w:rPr>
      <w:rFonts w:eastAsia="黑体" w:cs="宋体"/>
      <w:b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5D72B-29E1-4CEB-A05C-5A9E29BAA227}">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Pages>
  <Words>2071</Words>
  <Characters>2317</Characters>
  <Lines>17</Lines>
  <Paragraphs>4</Paragraphs>
  <TotalTime>339</TotalTime>
  <ScaleCrop>false</ScaleCrop>
  <LinksUpToDate>false</LinksUpToDate>
  <CharactersWithSpaces>2349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2024-06-26T02:14:00Z</dcterms:created>
  <dc:creator>Administrator</dc:creator>
  <cp:lastModifiedBy>暹罗</cp:lastModifiedBy>
  <cp:lastPrinted>2024-06-25T05:33:00Z</cp:lastPrinted>
  <dcterms:modified xsi:type="dcterms:W3CDTF">2025-02-17T09:11:14Z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35204A13DBC042DA96BCED7B69D29666_13</vt:lpwstr>
  </property>
  <property fmtid="{D5CDD505-2E9C-101B-9397-08002B2CF9AE}" pid="4" name="KSOTemplateDocerSaveRecord">
    <vt:lpwstr>eyJoZGlkIjoiZGVmM2ZlZWIwOGI0NWE0Njc1YzJjNTc2YzhjZmRiNDMiLCJ1c2VySWQiOiIzMzIyNjIxMTAifQ==</vt:lpwstr>
  </property>
</Properties>
</file>