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334"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9" w:hRule="atLeast"/>
        </w:trPr>
        <w:tc>
          <w:tcPr>
            <w:tcW w:w="10334" w:type="dxa"/>
          </w:tcPr>
          <w:p>
            <w:pPr>
              <w:spacing w:line="340" w:lineRule="exact"/>
            </w:pPr>
            <w:r>
              <w:rPr>
                <w:rFonts w:hint="eastAsia"/>
                <w:lang w:eastAsia="zh-CN"/>
              </w:rPr>
              <w:t>生态环境</w:t>
            </w:r>
            <w:r>
              <w:t>行政主管部门审批意见：</w:t>
            </w:r>
          </w:p>
          <w:p>
            <w:pPr>
              <w:spacing w:line="340" w:lineRule="exact"/>
              <w:ind w:firstLine="420" w:firstLineChars="200"/>
              <w:jc w:val="center"/>
            </w:pPr>
            <w:r>
              <w:t xml:space="preserve">                                       </w:t>
            </w:r>
            <w:r>
              <w:rPr>
                <w:rFonts w:hint="eastAsia"/>
                <w:lang w:val="en-US" w:eastAsia="zh-CN"/>
              </w:rPr>
              <w:t xml:space="preserve">                           </w:t>
            </w:r>
            <w:r>
              <w:rPr>
                <w:rFonts w:hint="eastAsia"/>
              </w:rPr>
              <w:t>榕台环评〔2022〕1号</w:t>
            </w:r>
          </w:p>
          <w:p>
            <w:pPr>
              <w:spacing w:line="340" w:lineRule="exact"/>
              <w:ind w:firstLine="420" w:firstLineChars="200"/>
            </w:pPr>
            <w:r>
              <w:rPr>
                <w:rFonts w:hint="eastAsia" w:ascii="Times New Roman" w:hAnsi="Times New Roman" w:cs="Times New Roman"/>
                <w:color w:val="auto"/>
                <w:kern w:val="0"/>
                <w:szCs w:val="21"/>
                <w:lang w:eastAsia="zh-CN"/>
              </w:rPr>
              <w:t>福建榕发置地有限公司</w:t>
            </w:r>
            <w:r>
              <w:rPr>
                <w:rFonts w:ascii="Times New Roman" w:hAnsi="Times New Roman" w:cs="Times New Roman"/>
              </w:rPr>
              <w:t>报</w:t>
            </w:r>
            <w:r>
              <w:t>送的</w:t>
            </w:r>
            <w:r>
              <w:rPr>
                <w:rFonts w:hint="default" w:ascii="Times New Roman" w:hAnsi="Times New Roman" w:cs="Times New Roman"/>
              </w:rPr>
              <w:t>《</w:t>
            </w:r>
            <w:r>
              <w:rPr>
                <w:rFonts w:hint="default" w:ascii="Times New Roman" w:hAnsi="Times New Roman" w:cs="Times New Roman" w:eastAsiaTheme="minorEastAsia"/>
                <w:color w:val="auto"/>
                <w:kern w:val="0"/>
                <w:szCs w:val="21"/>
                <w:lang w:val="en-US" w:eastAsia="zh-CN"/>
              </w:rPr>
              <w:t>榕发江墘云筑</w:t>
            </w:r>
            <w:r>
              <w:rPr>
                <w:rFonts w:hint="default" w:ascii="Times New Roman" w:hAnsi="Times New Roman" w:cs="Times New Roman"/>
              </w:rPr>
              <w:t>项目</w:t>
            </w:r>
            <w:r>
              <w:rPr>
                <w:rFonts w:hint="eastAsia" w:ascii="Times New Roman" w:hAnsi="Times New Roman" w:cs="Times New Roman"/>
                <w:lang w:eastAsia="zh-CN"/>
              </w:rPr>
              <w:t>建设项目</w:t>
            </w:r>
            <w:r>
              <w:rPr>
                <w:rFonts w:hint="default" w:ascii="Times New Roman" w:hAnsi="Times New Roman" w:cs="Times New Roman"/>
              </w:rPr>
              <w:t>环</w:t>
            </w:r>
            <w:r>
              <w:t>境影响报告表》（以下简称报告表）及相关申请</w:t>
            </w:r>
            <w:r>
              <w:rPr>
                <w:rFonts w:hint="eastAsia"/>
                <w:lang w:eastAsia="zh-CN"/>
              </w:rPr>
              <w:t>审批的</w:t>
            </w:r>
            <w:r>
              <w:t>材料收悉。根据《中华人民共和国环境影响评价法》第22条等规定，现提出审批意见如下：</w:t>
            </w:r>
          </w:p>
          <w:p>
            <w:pPr>
              <w:numPr>
                <w:ilvl w:val="0"/>
                <w:numId w:val="1"/>
              </w:numPr>
              <w:autoSpaceDE w:val="0"/>
              <w:autoSpaceDN w:val="0"/>
              <w:adjustRightInd w:val="0"/>
              <w:spacing w:line="240" w:lineRule="atLeast"/>
              <w:ind w:firstLine="420" w:firstLineChars="200"/>
              <w:jc w:val="left"/>
              <w:rPr>
                <w:rFonts w:hint="eastAsia"/>
                <w:color w:val="auto"/>
                <w:lang w:eastAsia="zh-CN"/>
              </w:rPr>
            </w:pPr>
            <w:r>
              <w:rPr>
                <w:rFonts w:hint="default" w:ascii="Times New Roman" w:hAnsi="Times New Roman" w:cs="Times New Roman"/>
              </w:rPr>
              <w:t>根据《报告表》评价结论：同意</w:t>
            </w:r>
            <w:r>
              <w:rPr>
                <w:rFonts w:hint="default" w:ascii="Times New Roman" w:hAnsi="Times New Roman" w:cs="Times New Roman" w:eastAsiaTheme="minorEastAsia"/>
                <w:color w:val="auto"/>
                <w:kern w:val="0"/>
                <w:szCs w:val="21"/>
                <w:lang w:val="en-US" w:eastAsia="zh-CN"/>
              </w:rPr>
              <w:t>榕发江墘云筑</w:t>
            </w:r>
            <w:r>
              <w:rPr>
                <w:rFonts w:hint="default" w:ascii="Times New Roman" w:hAnsi="Times New Roman" w:cs="Times New Roman"/>
              </w:rPr>
              <w:t>项目在</w:t>
            </w:r>
            <w:r>
              <w:rPr>
                <w:rFonts w:hint="default" w:ascii="Times New Roman" w:hAnsi="Times New Roman" w:cs="Times New Roman" w:eastAsiaTheme="minorEastAsia"/>
                <w:color w:val="auto"/>
                <w:kern w:val="0"/>
                <w:szCs w:val="21"/>
                <w:lang w:val="en-US" w:eastAsia="zh-CN"/>
              </w:rPr>
              <w:t>福建省福州市台江区锦标路北侧，原江墘下旧改地块（宗地2021-66号地块）</w:t>
            </w:r>
            <w:r>
              <w:rPr>
                <w:rFonts w:hint="default" w:ascii="Times New Roman" w:hAnsi="Times New Roman" w:cs="Times New Roman"/>
              </w:rPr>
              <w:t>建设，</w:t>
            </w:r>
            <w:r>
              <w:rPr>
                <w:rFonts w:hint="eastAsia" w:ascii="宋体" w:hAnsi="宋体" w:eastAsia="宋体" w:cs="宋体"/>
                <w:i w:val="0"/>
                <w:iCs w:val="0"/>
                <w:caps w:val="0"/>
                <w:color w:val="auto"/>
                <w:spacing w:val="0"/>
                <w:sz w:val="21"/>
                <w:szCs w:val="21"/>
                <w:shd w:val="clear" w:fill="FFFFFF"/>
                <w:lang w:val="en-US" w:eastAsia="zh-CN"/>
              </w:rPr>
              <w:t>本项目用地面积10259m</w:t>
            </w:r>
            <w:r>
              <w:rPr>
                <w:rFonts w:hint="eastAsia" w:ascii="宋体" w:hAnsi="宋体" w:eastAsia="宋体" w:cs="宋体"/>
                <w:i w:val="0"/>
                <w:iCs w:val="0"/>
                <w:caps w:val="0"/>
                <w:color w:val="auto"/>
                <w:spacing w:val="0"/>
                <w:sz w:val="21"/>
                <w:szCs w:val="21"/>
                <w:shd w:val="clear" w:fill="FFFFFF"/>
                <w:vertAlign w:val="superscript"/>
                <w:lang w:val="en-US" w:eastAsia="zh-CN"/>
              </w:rPr>
              <w:t>2</w:t>
            </w:r>
            <w:r>
              <w:rPr>
                <w:rFonts w:hint="eastAsia" w:ascii="宋体" w:hAnsi="宋体" w:eastAsia="宋体" w:cs="宋体"/>
                <w:i w:val="0"/>
                <w:iCs w:val="0"/>
                <w:caps w:val="0"/>
                <w:color w:val="auto"/>
                <w:spacing w:val="0"/>
                <w:sz w:val="21"/>
                <w:szCs w:val="21"/>
                <w:shd w:val="clear" w:fill="FFFFFF"/>
                <w:lang w:val="en-US" w:eastAsia="zh-CN"/>
              </w:rPr>
              <w:t>、总建筑面积21168.49m</w:t>
            </w:r>
            <w:r>
              <w:rPr>
                <w:rFonts w:hint="eastAsia" w:ascii="宋体" w:hAnsi="宋体" w:eastAsia="宋体" w:cs="宋体"/>
                <w:i w:val="0"/>
                <w:iCs w:val="0"/>
                <w:caps w:val="0"/>
                <w:color w:val="auto"/>
                <w:spacing w:val="0"/>
                <w:sz w:val="21"/>
                <w:szCs w:val="21"/>
                <w:shd w:val="clear" w:fill="FFFFFF"/>
                <w:vertAlign w:val="superscript"/>
                <w:lang w:val="en-US" w:eastAsia="zh-CN"/>
              </w:rPr>
              <w:t>2</w:t>
            </w:r>
            <w:r>
              <w:rPr>
                <w:rFonts w:hint="eastAsia" w:ascii="宋体" w:hAnsi="宋体" w:eastAsia="宋体" w:cs="宋体"/>
                <w:i w:val="0"/>
                <w:iCs w:val="0"/>
                <w:caps w:val="0"/>
                <w:color w:val="auto"/>
                <w:spacing w:val="0"/>
                <w:sz w:val="21"/>
                <w:szCs w:val="21"/>
                <w:shd w:val="clear" w:fill="FFFFFF"/>
                <w:lang w:val="en-US" w:eastAsia="zh-CN"/>
              </w:rPr>
              <w:t>、计容建筑面积15388.49m</w:t>
            </w:r>
            <w:r>
              <w:rPr>
                <w:rFonts w:hint="eastAsia" w:ascii="宋体" w:hAnsi="宋体" w:eastAsia="宋体" w:cs="宋体"/>
                <w:i w:val="0"/>
                <w:iCs w:val="0"/>
                <w:caps w:val="0"/>
                <w:color w:val="auto"/>
                <w:spacing w:val="0"/>
                <w:sz w:val="21"/>
                <w:szCs w:val="21"/>
                <w:shd w:val="clear" w:fill="FFFFFF"/>
                <w:vertAlign w:val="superscript"/>
                <w:lang w:val="en-US" w:eastAsia="zh-CN"/>
              </w:rPr>
              <w:t>2</w:t>
            </w:r>
            <w:r>
              <w:rPr>
                <w:rFonts w:hint="eastAsia" w:ascii="宋体" w:hAnsi="宋体" w:eastAsia="宋体" w:cs="宋体"/>
                <w:i w:val="0"/>
                <w:iCs w:val="0"/>
                <w:caps w:val="0"/>
                <w:color w:val="auto"/>
                <w:spacing w:val="0"/>
                <w:sz w:val="21"/>
                <w:szCs w:val="21"/>
                <w:shd w:val="clear" w:fill="FFFFFF"/>
                <w:lang w:val="en-US" w:eastAsia="zh-CN"/>
              </w:rPr>
              <w:t>，拟建设 2 栋 6～7 层多层住宅，2栋 14～15 层高层住宅和局部1～2层商业及配套用房，其中商业面积约805.20m</w:t>
            </w:r>
            <w:r>
              <w:rPr>
                <w:rFonts w:hint="eastAsia" w:ascii="宋体" w:hAnsi="宋体" w:eastAsia="宋体" w:cs="宋体"/>
                <w:i w:val="0"/>
                <w:iCs w:val="0"/>
                <w:caps w:val="0"/>
                <w:color w:val="auto"/>
                <w:spacing w:val="0"/>
                <w:sz w:val="21"/>
                <w:szCs w:val="21"/>
                <w:shd w:val="clear" w:fill="FFFFFF"/>
                <w:vertAlign w:val="superscript"/>
                <w:lang w:val="en-US" w:eastAsia="zh-CN"/>
              </w:rPr>
              <w:t>2</w:t>
            </w:r>
            <w:r>
              <w:rPr>
                <w:rFonts w:hint="eastAsia" w:ascii="宋体" w:hAnsi="宋体" w:eastAsia="宋体" w:cs="宋体"/>
                <w:i w:val="0"/>
                <w:iCs w:val="0"/>
                <w:caps w:val="0"/>
                <w:color w:val="auto"/>
                <w:spacing w:val="0"/>
                <w:sz w:val="21"/>
                <w:szCs w:val="21"/>
                <w:shd w:val="clear" w:fill="FFFFFF"/>
                <w:lang w:val="en-US" w:eastAsia="zh-CN"/>
              </w:rPr>
              <w:t>，地下室面积约5550.00m</w:t>
            </w:r>
            <w:r>
              <w:rPr>
                <w:rFonts w:hint="eastAsia" w:ascii="宋体" w:hAnsi="宋体" w:eastAsia="宋体" w:cs="宋体"/>
                <w:i w:val="0"/>
                <w:iCs w:val="0"/>
                <w:caps w:val="0"/>
                <w:color w:val="auto"/>
                <w:spacing w:val="0"/>
                <w:sz w:val="21"/>
                <w:szCs w:val="21"/>
                <w:shd w:val="clear" w:fill="FFFFFF"/>
                <w:vertAlign w:val="superscript"/>
                <w:lang w:val="en-US" w:eastAsia="zh-CN"/>
              </w:rPr>
              <w:t>2</w:t>
            </w:r>
            <w:r>
              <w:rPr>
                <w:rFonts w:hint="eastAsia" w:ascii="宋体" w:hAnsi="宋体" w:eastAsia="宋体" w:cs="宋体"/>
                <w:i w:val="0"/>
                <w:iCs w:val="0"/>
                <w:caps w:val="0"/>
                <w:color w:val="auto"/>
                <w:spacing w:val="0"/>
                <w:sz w:val="21"/>
                <w:szCs w:val="21"/>
                <w:shd w:val="clear" w:fill="FFFFFF"/>
                <w:lang w:val="en-US" w:eastAsia="zh-CN"/>
              </w:rPr>
              <w:t>(不计容)，配套用房面积约386.06m</w:t>
            </w:r>
            <w:r>
              <w:rPr>
                <w:rFonts w:hint="eastAsia" w:ascii="宋体" w:hAnsi="宋体" w:eastAsia="宋体" w:cs="宋体"/>
                <w:i w:val="0"/>
                <w:iCs w:val="0"/>
                <w:caps w:val="0"/>
                <w:color w:val="auto"/>
                <w:spacing w:val="0"/>
                <w:sz w:val="21"/>
                <w:szCs w:val="21"/>
                <w:shd w:val="clear" w:fill="FFFFFF"/>
                <w:vertAlign w:val="superscript"/>
                <w:lang w:val="en-US" w:eastAsia="zh-CN"/>
              </w:rPr>
              <w:t>2</w:t>
            </w:r>
            <w:r>
              <w:rPr>
                <w:rFonts w:hint="eastAsia" w:ascii="宋体" w:hAnsi="宋体" w:eastAsia="宋体" w:cs="宋体"/>
                <w:i w:val="0"/>
                <w:iCs w:val="0"/>
                <w:caps w:val="0"/>
                <w:color w:val="auto"/>
                <w:spacing w:val="0"/>
                <w:sz w:val="21"/>
                <w:szCs w:val="21"/>
                <w:shd w:val="clear" w:fill="FFFFFF"/>
                <w:lang w:val="en-US" w:eastAsia="zh-CN"/>
              </w:rPr>
              <w:t>。项目东南侧红线外约22m为市级文物保护单位白马桥，</w:t>
            </w:r>
            <w:r>
              <w:rPr>
                <w:rFonts w:hint="eastAsia" w:cs="Times New Roman"/>
                <w:color w:val="auto"/>
                <w:lang w:eastAsia="zh-CN"/>
              </w:rPr>
              <w:t>根据该项目的总平面设计方案及福州市文物局《关于榕发江墘云筑项目总平面设计方案的复函》，</w:t>
            </w:r>
            <w:r>
              <w:rPr>
                <w:rFonts w:hint="eastAsia" w:ascii="宋体" w:hAnsi="宋体" w:eastAsia="宋体" w:cs="宋体"/>
                <w:i w:val="0"/>
                <w:iCs w:val="0"/>
                <w:caps w:val="0"/>
                <w:color w:val="auto"/>
                <w:spacing w:val="0"/>
                <w:sz w:val="21"/>
                <w:szCs w:val="21"/>
                <w:shd w:val="clear" w:fill="FFFFFF"/>
                <w:lang w:val="en-US" w:eastAsia="zh-CN"/>
              </w:rPr>
              <w:t>白马桥的保护范围为桥两端50m及两岸河床，本项目建筑施工和地下室开挖退让白马桥保护区范围约7m。项目总平面布置来看，在白马桥保护范围主要为绿地和消防通道、并无建筑施工，符合文物保护要求</w:t>
            </w:r>
            <w:r>
              <w:rPr>
                <w:rFonts w:hint="eastAsia" w:ascii="宋体" w:hAnsi="宋体" w:cs="宋体"/>
                <w:i w:val="0"/>
                <w:iCs w:val="0"/>
                <w:caps w:val="0"/>
                <w:color w:val="auto"/>
                <w:spacing w:val="0"/>
                <w:sz w:val="21"/>
                <w:szCs w:val="21"/>
                <w:shd w:val="clear" w:fill="FFFFFF"/>
                <w:lang w:val="en-US" w:eastAsia="zh-CN"/>
              </w:rPr>
              <w:t>，在项目建设过程中需采取必要的保护防护措施，确保文物安全</w:t>
            </w:r>
            <w:r>
              <w:rPr>
                <w:rFonts w:hint="eastAsia" w:ascii="宋体" w:hAnsi="宋体" w:eastAsia="宋体" w:cs="宋体"/>
                <w:i w:val="0"/>
                <w:iCs w:val="0"/>
                <w:caps w:val="0"/>
                <w:color w:val="auto"/>
                <w:spacing w:val="0"/>
                <w:sz w:val="21"/>
                <w:szCs w:val="21"/>
                <w:shd w:val="clear" w:fill="FFFFFF"/>
                <w:lang w:val="en-US" w:eastAsia="zh-CN"/>
              </w:rPr>
              <w:t>。</w:t>
            </w:r>
          </w:p>
          <w:p>
            <w:pPr>
              <w:numPr>
                <w:ilvl w:val="0"/>
                <w:numId w:val="1"/>
              </w:numPr>
              <w:autoSpaceDE w:val="0"/>
              <w:autoSpaceDN w:val="0"/>
              <w:adjustRightInd w:val="0"/>
              <w:spacing w:line="240" w:lineRule="atLeast"/>
              <w:ind w:firstLine="420" w:firstLineChars="200"/>
              <w:jc w:val="left"/>
              <w:rPr>
                <w:rFonts w:hint="eastAsia" w:ascii="宋体" w:hAnsi="宋体" w:eastAsia="宋体" w:cs="宋体"/>
                <w:b w:val="0"/>
                <w:bCs w:val="0"/>
                <w:i w:val="0"/>
                <w:iCs w:val="0"/>
                <w:caps w:val="0"/>
                <w:color w:val="auto"/>
                <w:spacing w:val="0"/>
                <w:kern w:val="2"/>
                <w:sz w:val="21"/>
                <w:szCs w:val="21"/>
                <w:shd w:val="clear" w:fill="FFFFFF"/>
                <w:lang w:val="en-US" w:eastAsia="zh-CN" w:bidi="ar-SA"/>
              </w:rPr>
            </w:pPr>
            <w:r>
              <w:rPr>
                <w:rFonts w:hint="default" w:ascii="Times New Roman" w:hAnsi="Times New Roman" w:cs="Times New Roman"/>
                <w:color w:val="auto"/>
              </w:rPr>
              <w:t>项目应落实《报告表》提出的各项污染防治措施，并重点做好以下工作：</w:t>
            </w:r>
          </w:p>
          <w:p>
            <w:pPr>
              <w:numPr>
                <w:ilvl w:val="0"/>
                <w:numId w:val="0"/>
              </w:numPr>
              <w:autoSpaceDE w:val="0"/>
              <w:autoSpaceDN w:val="0"/>
              <w:adjustRightInd w:val="0"/>
              <w:spacing w:line="240" w:lineRule="atLeast"/>
              <w:ind w:firstLine="420" w:firstLineChars="200"/>
              <w:jc w:val="left"/>
              <w:rPr>
                <w:rFonts w:hint="eastAsia" w:ascii="宋体" w:hAnsi="宋体" w:eastAsia="宋体" w:cs="宋体"/>
                <w:b w:val="0"/>
                <w:bCs w:val="0"/>
                <w:i w:val="0"/>
                <w:iCs w:val="0"/>
                <w:caps w:val="0"/>
                <w:color w:val="auto"/>
                <w:spacing w:val="0"/>
                <w:kern w:val="2"/>
                <w:sz w:val="21"/>
                <w:szCs w:val="21"/>
                <w:shd w:val="clear" w:fill="FFFFFF"/>
                <w:lang w:val="en-US" w:eastAsia="zh-CN" w:bidi="ar-SA"/>
              </w:rPr>
            </w:pPr>
            <w:r>
              <w:rPr>
                <w:rFonts w:hint="eastAsia" w:ascii="宋体" w:hAnsi="宋体" w:cs="宋体"/>
                <w:b w:val="0"/>
                <w:bCs w:val="0"/>
                <w:i w:val="0"/>
                <w:iCs w:val="0"/>
                <w:caps w:val="0"/>
                <w:color w:val="auto"/>
                <w:spacing w:val="0"/>
                <w:kern w:val="2"/>
                <w:sz w:val="21"/>
                <w:szCs w:val="21"/>
                <w:shd w:val="clear" w:fill="FFFFFF"/>
                <w:lang w:val="en-US" w:eastAsia="zh-CN" w:bidi="ar-SA"/>
              </w:rPr>
              <w:t>(一）</w:t>
            </w:r>
            <w:r>
              <w:rPr>
                <w:rFonts w:hint="eastAsia" w:ascii="宋体" w:hAnsi="宋体" w:eastAsia="宋体" w:cs="宋体"/>
                <w:b w:val="0"/>
                <w:bCs w:val="0"/>
                <w:i w:val="0"/>
                <w:iCs w:val="0"/>
                <w:caps w:val="0"/>
                <w:color w:val="auto"/>
                <w:spacing w:val="0"/>
                <w:kern w:val="2"/>
                <w:sz w:val="21"/>
                <w:szCs w:val="21"/>
                <w:shd w:val="clear" w:fill="FFFFFF"/>
                <w:lang w:val="en-US" w:eastAsia="zh-CN" w:bidi="ar-SA"/>
              </w:rPr>
              <w:t>施工期</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（1）地表</w:t>
            </w:r>
            <w:r>
              <w:rPr>
                <w:rFonts w:hint="eastAsia" w:ascii="宋体" w:hAnsi="宋体" w:eastAsia="宋体" w:cs="宋体"/>
                <w:color w:val="auto"/>
                <w:sz w:val="21"/>
                <w:szCs w:val="21"/>
              </w:rPr>
              <w:t>水环境</w:t>
            </w:r>
            <w:r>
              <w:rPr>
                <w:rFonts w:hint="eastAsia"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color w:val="auto"/>
                <w:kern w:val="0"/>
                <w:sz w:val="21"/>
                <w:szCs w:val="21"/>
              </w:rPr>
              <w:t>施工废水经隔油池、沉淀处理后回用；施工人员租住周边居民房，少量施工生活污水经临时化粪池处理后排入市政污水管网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施工期桩基泥浆水应设置沉淀池处理后，上清液用于施工场地洒水降尘，泥浆委托渣土部门清运处置</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施工期不得在白马河设置排污口，从而影响白马河的水质。</w:t>
            </w:r>
          </w:p>
          <w:p>
            <w:pPr>
              <w:autoSpaceDE w:val="0"/>
              <w:autoSpaceDN w:val="0"/>
              <w:adjustRightInd w:val="0"/>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i w:val="0"/>
                <w:iCs w:val="0"/>
                <w:caps w:val="0"/>
                <w:color w:val="auto"/>
                <w:spacing w:val="0"/>
                <w:kern w:val="0"/>
                <w:sz w:val="21"/>
                <w:szCs w:val="21"/>
                <w:shd w:val="clear" w:fill="FFFFFF"/>
                <w:lang w:val="en-US" w:eastAsia="zh-CN" w:bidi="ar"/>
              </w:rPr>
              <w:t>（2）声环境：</w:t>
            </w:r>
            <w:r>
              <w:rPr>
                <w:rFonts w:hint="eastAsia" w:ascii="宋体" w:hAnsi="宋体" w:eastAsia="宋体" w:cs="宋体"/>
                <w:color w:val="auto"/>
                <w:kern w:val="0"/>
                <w:sz w:val="21"/>
                <w:szCs w:val="21"/>
              </w:rPr>
              <w:t>合理安排施工作业时间，</w:t>
            </w:r>
            <w:r>
              <w:rPr>
                <w:rFonts w:hint="eastAsia" w:ascii="宋体" w:hAnsi="宋体" w:eastAsia="宋体" w:cs="宋体"/>
                <w:color w:val="auto"/>
                <w:sz w:val="21"/>
                <w:szCs w:val="21"/>
              </w:rPr>
              <w:t>禁止在午间12:00至14:30和夜间22:00至次日6:00进行高噪声施工活动</w:t>
            </w:r>
            <w:r>
              <w:rPr>
                <w:rFonts w:hint="eastAsia" w:ascii="宋体" w:hAnsi="宋体" w:eastAsia="宋体" w:cs="宋体"/>
                <w:color w:val="auto"/>
                <w:kern w:val="0"/>
                <w:sz w:val="21"/>
                <w:szCs w:val="21"/>
              </w:rPr>
              <w:t>；施工场界围挡；要求使用的主要机械设备为低噪声机械设备</w:t>
            </w:r>
            <w:r>
              <w:rPr>
                <w:rFonts w:hint="eastAsia" w:ascii="宋体" w:hAnsi="宋体" w:eastAsia="宋体" w:cs="宋体"/>
                <w:color w:val="auto"/>
                <w:kern w:val="0"/>
                <w:sz w:val="21"/>
                <w:szCs w:val="21"/>
                <w:lang w:eastAsia="zh-CN"/>
              </w:rPr>
              <w:t>。</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（3）固废：</w:t>
            </w:r>
            <w:r>
              <w:rPr>
                <w:rFonts w:hint="eastAsia" w:ascii="宋体" w:hAnsi="宋体" w:eastAsia="宋体" w:cs="宋体"/>
                <w:color w:val="auto"/>
                <w:kern w:val="0"/>
                <w:sz w:val="21"/>
                <w:szCs w:val="21"/>
              </w:rPr>
              <w:t>建筑垃圾和装修垃圾物应分门别类，有序堆放，其中具有回收利用价值的钢筋、木块等由相关单位回收利用，不具回收利用价值的定时由市政建筑渣土管理部门统一清运处置；施工生活垃圾必须在指定地点倾倒，及时运走处置。</w:t>
            </w:r>
          </w:p>
          <w:p>
            <w:pPr>
              <w:autoSpaceDE w:val="0"/>
              <w:autoSpaceDN w:val="0"/>
              <w:adjustRightInd w:val="0"/>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）大气环境：</w:t>
            </w:r>
            <w:r>
              <w:rPr>
                <w:rFonts w:hint="eastAsia" w:ascii="宋体" w:hAnsi="宋体" w:eastAsia="宋体" w:cs="宋体"/>
                <w:color w:val="auto"/>
                <w:kern w:val="0"/>
                <w:sz w:val="21"/>
                <w:szCs w:val="21"/>
              </w:rPr>
              <w:t>土石方、砂石运输车辆应进行覆盖；施工主干道路面要定时清扫和喷洒水；施工现场应建设防护围墙，并安装水雾喷淋装置；施工车辆及时进出及时清洗。</w:t>
            </w:r>
          </w:p>
          <w:p>
            <w:pPr>
              <w:numPr>
                <w:ilvl w:val="0"/>
                <w:numId w:val="0"/>
              </w:numPr>
              <w:autoSpaceDE w:val="0"/>
              <w:autoSpaceDN w:val="0"/>
              <w:adjustRightInd w:val="0"/>
              <w:ind w:firstLine="420" w:firstLineChars="20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u w:val="none"/>
                <w:shd w:val="clear" w:fill="FFFFFF"/>
                <w:lang w:val="en-US" w:eastAsia="zh-CN" w:bidi="ar"/>
              </w:rPr>
              <w:t>（5）陆生生态：土</w:t>
            </w:r>
            <w:r>
              <w:rPr>
                <w:rFonts w:hint="eastAsia" w:ascii="宋体" w:hAnsi="宋体" w:eastAsia="宋体" w:cs="宋体"/>
                <w:color w:val="auto"/>
                <w:kern w:val="0"/>
                <w:sz w:val="21"/>
                <w:szCs w:val="21"/>
              </w:rPr>
              <w:t>石方施工尽量避开雨季、减少地表的裸露面与裸露时间；</w:t>
            </w:r>
            <w:r>
              <w:rPr>
                <w:rFonts w:hint="eastAsia" w:ascii="宋体" w:hAnsi="宋体" w:eastAsia="宋体" w:cs="宋体"/>
                <w:color w:val="auto"/>
                <w:sz w:val="21"/>
                <w:szCs w:val="21"/>
              </w:rPr>
              <w:t>场地四周应设排水沟，作业区设好排水系统。</w:t>
            </w:r>
          </w:p>
          <w:p>
            <w:pPr>
              <w:pStyle w:val="2"/>
              <w:numPr>
                <w:ilvl w:val="0"/>
                <w:numId w:val="0"/>
              </w:numPr>
              <w:ind w:firstLine="420" w:firstLineChars="200"/>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振动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施工时应采用基坑围护结构，挖减震沟、合理安排沉桩顺序，控制沉桩速率，并进行跟踪监测。将白马桥的保护措施纳入施工设计。不对白马桥文物造成影响</w:t>
            </w:r>
            <w:r>
              <w:rPr>
                <w:rFonts w:hint="eastAsia" w:ascii="宋体" w:hAnsi="宋体" w:eastAsia="宋体" w:cs="宋体"/>
                <w:color w:val="000000"/>
                <w:sz w:val="21"/>
                <w:szCs w:val="21"/>
                <w:lang w:eastAsia="zh-CN"/>
              </w:rPr>
              <w:t>。</w:t>
            </w:r>
          </w:p>
          <w:p>
            <w:pPr>
              <w:autoSpaceDE w:val="0"/>
              <w:autoSpaceDN w:val="0"/>
              <w:adjustRightInd w:val="0"/>
              <w:ind w:firstLine="420" w:firstLineChars="200"/>
              <w:jc w:val="left"/>
              <w:rPr>
                <w:rFonts w:hint="eastAsia" w:ascii="宋体" w:hAnsi="宋体" w:eastAsia="宋体" w:cs="宋体"/>
                <w:b w:val="0"/>
                <w:bCs w:val="0"/>
                <w:i w:val="0"/>
                <w:iCs w:val="0"/>
                <w:caps w:val="0"/>
                <w:color w:val="auto"/>
                <w:spacing w:val="0"/>
                <w:kern w:val="2"/>
                <w:sz w:val="21"/>
                <w:szCs w:val="21"/>
                <w:shd w:val="clear" w:fill="FFFFFF"/>
                <w:lang w:val="en-US" w:eastAsia="zh-CN" w:bidi="ar-SA"/>
              </w:rPr>
            </w:pPr>
            <w:r>
              <w:rPr>
                <w:rFonts w:hint="eastAsia" w:ascii="宋体" w:hAnsi="宋体" w:cs="宋体"/>
                <w:b w:val="0"/>
                <w:bCs w:val="0"/>
                <w:i w:val="0"/>
                <w:iCs w:val="0"/>
                <w:caps w:val="0"/>
                <w:color w:val="auto"/>
                <w:spacing w:val="0"/>
                <w:kern w:val="2"/>
                <w:sz w:val="21"/>
                <w:szCs w:val="21"/>
                <w:shd w:val="clear" w:fill="FFFFFF"/>
                <w:lang w:val="en-US" w:eastAsia="zh-CN" w:bidi="ar-SA"/>
              </w:rPr>
              <w:t>(二）</w:t>
            </w:r>
            <w:r>
              <w:rPr>
                <w:rFonts w:hint="eastAsia" w:ascii="宋体" w:hAnsi="宋体" w:eastAsia="宋体" w:cs="宋体"/>
                <w:b w:val="0"/>
                <w:bCs w:val="0"/>
                <w:i w:val="0"/>
                <w:iCs w:val="0"/>
                <w:caps w:val="0"/>
                <w:color w:val="auto"/>
                <w:spacing w:val="0"/>
                <w:kern w:val="2"/>
                <w:sz w:val="21"/>
                <w:szCs w:val="21"/>
                <w:shd w:val="clear" w:fill="FFFFFF"/>
                <w:lang w:val="en-US" w:eastAsia="zh-CN" w:bidi="ar-SA"/>
              </w:rPr>
              <w:t>运营期</w:t>
            </w:r>
          </w:p>
          <w:p>
            <w:pPr>
              <w:autoSpaceDE w:val="0"/>
              <w:autoSpaceDN w:val="0"/>
              <w:adjustRightInd w:val="0"/>
              <w:ind w:firstLine="420" w:firstLineChars="20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ascii="宋体" w:hAnsi="宋体" w:eastAsia="宋体" w:cs="宋体"/>
                <w:color w:val="000000"/>
                <w:sz w:val="21"/>
                <w:szCs w:val="21"/>
              </w:rPr>
              <w:t>地表水环境</w:t>
            </w:r>
            <w:r>
              <w:rPr>
                <w:rFonts w:hint="eastAsia"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color w:val="000000"/>
                <w:kern w:val="0"/>
                <w:sz w:val="21"/>
                <w:szCs w:val="21"/>
              </w:rPr>
              <w:t>小区配套建设化粪池，容积为50m</w:t>
            </w:r>
            <w:r>
              <w:rPr>
                <w:rFonts w:hint="eastAsia" w:ascii="宋体" w:hAnsi="宋体" w:eastAsia="宋体" w:cs="宋体"/>
                <w:color w:val="000000"/>
                <w:kern w:val="0"/>
                <w:sz w:val="21"/>
                <w:szCs w:val="21"/>
                <w:vertAlign w:val="superscript"/>
              </w:rPr>
              <w:t>3</w:t>
            </w:r>
            <w:r>
              <w:rPr>
                <w:rFonts w:hint="eastAsia" w:ascii="宋体" w:hAnsi="宋体" w:eastAsia="宋体" w:cs="宋体"/>
                <w:color w:val="000000"/>
                <w:kern w:val="0"/>
                <w:sz w:val="21"/>
                <w:szCs w:val="21"/>
              </w:rPr>
              <w:t>；生活废水及时接入市政污水管网纳入福州市洋里污水处理厂进行处理。</w:t>
            </w:r>
            <w:r>
              <w:rPr>
                <w:rFonts w:hint="eastAsia" w:ascii="宋体" w:hAnsi="宋体" w:eastAsia="宋体" w:cs="宋体"/>
                <w:color w:val="000000"/>
                <w:kern w:val="0"/>
                <w:sz w:val="21"/>
                <w:szCs w:val="21"/>
                <w:lang w:eastAsia="zh-CN"/>
              </w:rPr>
              <w:t>执行标准：</w:t>
            </w:r>
            <w:r>
              <w:rPr>
                <w:rFonts w:hint="eastAsia" w:ascii="宋体" w:hAnsi="宋体" w:eastAsia="宋体" w:cs="宋体"/>
                <w:color w:val="000000"/>
                <w:kern w:val="0"/>
                <w:sz w:val="21"/>
                <w:szCs w:val="21"/>
              </w:rPr>
              <w:t>《污水综合排放标准》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GB8978-1996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表4中的三级标准要求（氨氮参考《污水排入城镇下水道水质标准》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GB/T31962-2015</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中B等级的最高允许值的排放要求）</w:t>
            </w:r>
            <w:r>
              <w:rPr>
                <w:rFonts w:hint="eastAsia" w:ascii="宋体" w:hAnsi="宋体" w:eastAsia="宋体" w:cs="宋体"/>
                <w:color w:val="000000"/>
                <w:kern w:val="0"/>
                <w:sz w:val="21"/>
                <w:szCs w:val="21"/>
                <w:lang w:eastAsia="zh-CN"/>
              </w:rPr>
              <w:t>。</w:t>
            </w:r>
          </w:p>
          <w:p>
            <w:pPr>
              <w:autoSpaceDE w:val="0"/>
              <w:autoSpaceDN w:val="0"/>
              <w:adjustRightInd w:val="0"/>
              <w:ind w:firstLine="420" w:firstLineChars="20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w:t>
            </w:r>
            <w:r>
              <w:rPr>
                <w:rFonts w:hint="eastAsia" w:ascii="宋体" w:hAnsi="宋体" w:eastAsia="宋体" w:cs="宋体"/>
                <w:color w:val="000000"/>
                <w:sz w:val="21"/>
                <w:szCs w:val="21"/>
              </w:rPr>
              <w:t>声环境</w:t>
            </w:r>
            <w:r>
              <w:rPr>
                <w:rFonts w:hint="eastAsia"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color w:val="000000"/>
                <w:kern w:val="0"/>
                <w:sz w:val="21"/>
                <w:szCs w:val="21"/>
              </w:rPr>
              <w:t>进排风口应配以阻性片式消声器；发电机采取吸声、消声、减震等措施；水泵、变压器等置于封闭房间内，并采取吸声、消声、减震等措施。</w:t>
            </w:r>
            <w:r>
              <w:rPr>
                <w:rFonts w:hint="eastAsia" w:ascii="宋体" w:hAnsi="宋体" w:eastAsia="宋体" w:cs="宋体"/>
                <w:color w:val="000000"/>
                <w:kern w:val="0"/>
                <w:sz w:val="21"/>
                <w:szCs w:val="21"/>
                <w:lang w:eastAsia="zh-CN"/>
              </w:rPr>
              <w:t>执行标准：</w:t>
            </w:r>
            <w:r>
              <w:rPr>
                <w:rFonts w:hint="eastAsia" w:ascii="宋体" w:hAnsi="宋体" w:eastAsia="宋体" w:cs="宋体"/>
                <w:color w:val="000000"/>
                <w:kern w:val="0"/>
                <w:sz w:val="21"/>
                <w:szCs w:val="21"/>
              </w:rPr>
              <w:t>《社会生活噪声排放标准》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GB22337-2008</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2类标准</w:t>
            </w:r>
            <w:r>
              <w:rPr>
                <w:rFonts w:hint="eastAsia" w:ascii="宋体" w:hAnsi="宋体" w:eastAsia="宋体" w:cs="宋体"/>
                <w:color w:val="000000"/>
                <w:kern w:val="0"/>
                <w:sz w:val="21"/>
                <w:szCs w:val="21"/>
                <w:lang w:eastAsia="zh-CN"/>
              </w:rPr>
              <w:t>。</w:t>
            </w:r>
          </w:p>
          <w:p>
            <w:pPr>
              <w:autoSpaceDE w:val="0"/>
              <w:autoSpaceDN w:val="0"/>
              <w:adjustRightInd w:val="0"/>
              <w:ind w:firstLine="420" w:firstLineChars="20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（3）固废：</w:t>
            </w:r>
            <w:r>
              <w:rPr>
                <w:rFonts w:hint="eastAsia" w:ascii="宋体" w:hAnsi="宋体" w:eastAsia="宋体" w:cs="宋体"/>
                <w:color w:val="000000"/>
                <w:kern w:val="0"/>
                <w:sz w:val="21"/>
                <w:szCs w:val="21"/>
              </w:rPr>
              <w:t>保洁容器按分类收集规范摆设，垃圾集散间设计要满足：卫生、美观清洁、环保要求确保当天垃圾当天清运</w:t>
            </w:r>
            <w:r>
              <w:rPr>
                <w:rFonts w:hint="eastAsia" w:ascii="宋体" w:hAnsi="宋体" w:eastAsia="宋体" w:cs="宋体"/>
                <w:color w:val="000000"/>
                <w:kern w:val="0"/>
                <w:sz w:val="21"/>
                <w:szCs w:val="21"/>
                <w:lang w:eastAsia="zh-CN"/>
              </w:rPr>
              <w:t>。</w:t>
            </w:r>
          </w:p>
          <w:p>
            <w:pPr>
              <w:autoSpaceDE w:val="0"/>
              <w:autoSpaceDN w:val="0"/>
              <w:adjustRightInd w:val="0"/>
              <w:ind w:firstLine="420" w:firstLineChars="200"/>
              <w:jc w:val="left"/>
              <w:rPr>
                <w:rFonts w:hint="eastAsia" w:ascii="宋体" w:hAnsi="宋体" w:eastAsia="宋体" w:cs="宋体"/>
                <w:color w:val="000000"/>
                <w:kern w:val="0"/>
                <w:sz w:val="21"/>
                <w:szCs w:val="21"/>
                <w:lang w:eastAsia="zh-CN"/>
              </w:rPr>
            </w:pPr>
            <w:r>
              <w:rPr>
                <w:rFonts w:hint="eastAsia" w:ascii="宋体" w:hAnsi="宋体" w:eastAsia="宋体" w:cs="宋体"/>
                <w:i w:val="0"/>
                <w:iCs w:val="0"/>
                <w:caps w:val="0"/>
                <w:color w:val="auto"/>
                <w:spacing w:val="0"/>
                <w:kern w:val="0"/>
                <w:sz w:val="21"/>
                <w:szCs w:val="21"/>
                <w:shd w:val="clear" w:fill="FFFFFF"/>
                <w:lang w:val="en-US" w:eastAsia="zh-CN" w:bidi="ar"/>
              </w:rPr>
              <w:t>（4）</w:t>
            </w:r>
            <w:r>
              <w:rPr>
                <w:rFonts w:hint="eastAsia" w:ascii="宋体" w:hAnsi="宋体" w:eastAsia="宋体" w:cs="宋体"/>
                <w:color w:val="000000"/>
                <w:sz w:val="21"/>
                <w:szCs w:val="21"/>
              </w:rPr>
              <w:t>大气环境</w:t>
            </w:r>
            <w:r>
              <w:rPr>
                <w:rFonts w:hint="eastAsia"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color w:val="000000"/>
                <w:kern w:val="0"/>
                <w:sz w:val="21"/>
                <w:szCs w:val="21"/>
              </w:rPr>
              <w:t>备用发电机烟气通过机械排气引至屋顶高空排放；地下停车场换气次数不少于6次；</w:t>
            </w:r>
            <w:r>
              <w:rPr>
                <w:rFonts w:hint="eastAsia" w:ascii="宋体" w:hAnsi="宋体" w:eastAsia="宋体" w:cs="宋体"/>
                <w:bCs/>
                <w:color w:val="000000"/>
                <w:sz w:val="21"/>
                <w:szCs w:val="21"/>
              </w:rPr>
              <w:t>停车库内通过排风管集中抽风，引至地面2.0m 以上排放</w:t>
            </w:r>
            <w:r>
              <w:rPr>
                <w:rFonts w:hint="eastAsia" w:ascii="宋体" w:hAnsi="宋体" w:eastAsia="宋体" w:cs="宋体"/>
                <w:bCs/>
                <w:color w:val="000000"/>
                <w:sz w:val="21"/>
                <w:szCs w:val="21"/>
                <w:lang w:eastAsia="zh-CN"/>
              </w:rPr>
              <w:t>。执行标准：</w:t>
            </w:r>
            <w:r>
              <w:rPr>
                <w:rFonts w:hint="eastAsia" w:ascii="宋体" w:hAnsi="宋体" w:eastAsia="宋体" w:cs="宋体"/>
                <w:color w:val="000000"/>
                <w:kern w:val="0"/>
                <w:sz w:val="21"/>
                <w:szCs w:val="21"/>
              </w:rPr>
              <w:t>《大气污染物综合排放标准》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GB16297-1996</w:t>
            </w:r>
            <w:r>
              <w:rPr>
                <w:rFonts w:hint="eastAsia" w:ascii="宋体" w:hAnsi="宋体" w:eastAsia="宋体" w:cs="宋体"/>
                <w:color w:val="000000"/>
                <w:kern w:val="0"/>
                <w:sz w:val="21"/>
                <w:szCs w:val="21"/>
                <w:lang w:eastAsia="zh-CN"/>
              </w:rPr>
              <w:t>）。</w:t>
            </w:r>
          </w:p>
          <w:p>
            <w:pPr>
              <w:numPr>
                <w:ilvl w:val="0"/>
                <w:numId w:val="2"/>
              </w:numPr>
              <w:spacing w:line="340" w:lineRule="exact"/>
              <w:ind w:firstLine="420" w:firstLineChars="200"/>
              <w:rPr>
                <w:rFonts w:hint="eastAsia"/>
                <w:lang w:val="en-US" w:eastAsia="zh-CN"/>
              </w:rPr>
            </w:pPr>
            <w:r>
              <w:rPr>
                <w:rFonts w:hint="default" w:ascii="Times New Roman" w:hAnsi="Times New Roman" w:cs="Times New Roman"/>
              </w:rPr>
              <w:t>该项目应严格执行环保“三同时”制度，及时开展竣工环保验收，验收合格后方可投入使用。我局委托福州市台江生态环境局执法大队组织开展 “三同时”监督检查和日常监督管理</w:t>
            </w:r>
            <w:r>
              <w:rPr>
                <w:rFonts w:hint="eastAsia" w:ascii="Times New Roman" w:hAnsi="Times New Roman" w:cs="Times New Roman"/>
                <w:lang w:eastAsia="zh-CN"/>
              </w:rPr>
              <w:t>。</w:t>
            </w:r>
          </w:p>
          <w:p>
            <w:pPr>
              <w:spacing w:line="340" w:lineRule="exact"/>
              <w:rPr>
                <w:rFonts w:hint="eastAsia" w:eastAsia="宋体"/>
                <w:lang w:val="en-US" w:eastAsia="zh-CN"/>
              </w:rPr>
            </w:pPr>
            <w:r>
              <w:rPr>
                <w:rFonts w:hint="default" w:ascii="Times New Roman" w:hAnsi="Times New Roman" w:cs="Times New Roman"/>
              </w:rPr>
              <w:t xml:space="preserve">经办人: </w:t>
            </w:r>
            <w:r>
              <w:rPr>
                <w:rFonts w:hint="eastAsia" w:cs="Times New Roman"/>
                <w:lang w:val="en-US" w:eastAsia="zh-CN"/>
              </w:rPr>
              <w:t xml:space="preserve">                                                            </w:t>
            </w:r>
            <w:r>
              <w:rPr>
                <w:rFonts w:hint="eastAsia"/>
                <w:lang w:val="en-US" w:eastAsia="zh-CN"/>
              </w:rPr>
              <w:t xml:space="preserve">   </w:t>
            </w:r>
            <w:r>
              <w:t>福州市生态环境</w:t>
            </w:r>
            <w:r>
              <w:rPr>
                <w:rFonts w:hint="eastAsia"/>
                <w:lang w:eastAsia="zh-CN"/>
              </w:rPr>
              <w:t>局</w:t>
            </w:r>
          </w:p>
          <w:p>
            <w:pPr>
              <w:spacing w:line="340" w:lineRule="exact"/>
              <w:ind w:firstLine="420" w:firstLineChars="200"/>
            </w:pPr>
            <w:r>
              <w:rPr>
                <w:rFonts w:hint="eastAsia"/>
                <w:lang w:val="en-US" w:eastAsia="zh-CN"/>
              </w:rPr>
              <w:t xml:space="preserve">                                                                  </w:t>
            </w:r>
            <w:r>
              <w:t>202</w:t>
            </w:r>
            <w:r>
              <w:rPr>
                <w:rFonts w:hint="eastAsia"/>
                <w:lang w:val="en-US" w:eastAsia="zh-CN"/>
              </w:rPr>
              <w:t>2</w:t>
            </w:r>
            <w:r>
              <w:t>年</w:t>
            </w:r>
            <w:r>
              <w:rPr>
                <w:rFonts w:hint="eastAsia"/>
                <w:lang w:val="en-US" w:eastAsia="zh-CN"/>
              </w:rPr>
              <w:t>6</w:t>
            </w:r>
            <w:r>
              <w:t>月</w:t>
            </w:r>
            <w:r>
              <w:rPr>
                <w:rFonts w:hint="eastAsia"/>
                <w:lang w:val="en-US" w:eastAsia="zh-CN"/>
              </w:rPr>
              <w:t>30</w:t>
            </w:r>
            <w:bookmarkStart w:id="0" w:name="_GoBack"/>
            <w:bookmarkEnd w:id="0"/>
            <w: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51CF9"/>
    <w:multiLevelType w:val="singleLevel"/>
    <w:tmpl w:val="84D51CF9"/>
    <w:lvl w:ilvl="0" w:tentative="0">
      <w:start w:val="1"/>
      <w:numFmt w:val="chineseCounting"/>
      <w:suff w:val="nothing"/>
      <w:lvlText w:val="%1、"/>
      <w:lvlJc w:val="left"/>
      <w:rPr>
        <w:rFonts w:hint="eastAsia"/>
      </w:rPr>
    </w:lvl>
  </w:abstractNum>
  <w:abstractNum w:abstractNumId="1">
    <w:nsid w:val="A9564D2B"/>
    <w:multiLevelType w:val="singleLevel"/>
    <w:tmpl w:val="A9564D2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3Y2U0YzUxMTAyYzMwMDE4N2Q2MDVkN2M1ZTZlMWYifQ=="/>
  </w:docVars>
  <w:rsids>
    <w:rsidRoot w:val="002F0253"/>
    <w:rsid w:val="00000F1B"/>
    <w:rsid w:val="00027900"/>
    <w:rsid w:val="00040802"/>
    <w:rsid w:val="00056B19"/>
    <w:rsid w:val="00060B0F"/>
    <w:rsid w:val="000822E5"/>
    <w:rsid w:val="00084B57"/>
    <w:rsid w:val="000A4F9D"/>
    <w:rsid w:val="000E3A05"/>
    <w:rsid w:val="000E6217"/>
    <w:rsid w:val="001116E3"/>
    <w:rsid w:val="00112EEF"/>
    <w:rsid w:val="00116771"/>
    <w:rsid w:val="00127CF7"/>
    <w:rsid w:val="00135638"/>
    <w:rsid w:val="00183C03"/>
    <w:rsid w:val="0018662E"/>
    <w:rsid w:val="001B1F54"/>
    <w:rsid w:val="001E1BB0"/>
    <w:rsid w:val="001F6A01"/>
    <w:rsid w:val="00202671"/>
    <w:rsid w:val="002545A3"/>
    <w:rsid w:val="0028478D"/>
    <w:rsid w:val="00286BBE"/>
    <w:rsid w:val="00287E08"/>
    <w:rsid w:val="002914D1"/>
    <w:rsid w:val="002A4F8A"/>
    <w:rsid w:val="002D279D"/>
    <w:rsid w:val="002E3E43"/>
    <w:rsid w:val="002F0253"/>
    <w:rsid w:val="00307DDD"/>
    <w:rsid w:val="00374D27"/>
    <w:rsid w:val="003B0E8C"/>
    <w:rsid w:val="003B3C8B"/>
    <w:rsid w:val="003E2FAB"/>
    <w:rsid w:val="00404652"/>
    <w:rsid w:val="004350A2"/>
    <w:rsid w:val="00465327"/>
    <w:rsid w:val="00481832"/>
    <w:rsid w:val="00487A0E"/>
    <w:rsid w:val="004C0829"/>
    <w:rsid w:val="004D4956"/>
    <w:rsid w:val="00517E3C"/>
    <w:rsid w:val="005223CA"/>
    <w:rsid w:val="00531CB3"/>
    <w:rsid w:val="005463DC"/>
    <w:rsid w:val="00554353"/>
    <w:rsid w:val="00556226"/>
    <w:rsid w:val="005769C3"/>
    <w:rsid w:val="005A3870"/>
    <w:rsid w:val="005C0066"/>
    <w:rsid w:val="005D451E"/>
    <w:rsid w:val="005E4C3C"/>
    <w:rsid w:val="006454BB"/>
    <w:rsid w:val="00656E24"/>
    <w:rsid w:val="006E4402"/>
    <w:rsid w:val="006F3ED5"/>
    <w:rsid w:val="00704E36"/>
    <w:rsid w:val="00777100"/>
    <w:rsid w:val="00777FBD"/>
    <w:rsid w:val="00783107"/>
    <w:rsid w:val="007912BA"/>
    <w:rsid w:val="007A5317"/>
    <w:rsid w:val="007B22D3"/>
    <w:rsid w:val="007C1411"/>
    <w:rsid w:val="007C1430"/>
    <w:rsid w:val="007C1902"/>
    <w:rsid w:val="007C7A35"/>
    <w:rsid w:val="007F1B5A"/>
    <w:rsid w:val="00816ECF"/>
    <w:rsid w:val="00840AE9"/>
    <w:rsid w:val="00850B33"/>
    <w:rsid w:val="00863B58"/>
    <w:rsid w:val="00894996"/>
    <w:rsid w:val="008C451A"/>
    <w:rsid w:val="008C532C"/>
    <w:rsid w:val="008D022A"/>
    <w:rsid w:val="008E5015"/>
    <w:rsid w:val="008F5B5B"/>
    <w:rsid w:val="0092135D"/>
    <w:rsid w:val="00921439"/>
    <w:rsid w:val="00932133"/>
    <w:rsid w:val="009404DF"/>
    <w:rsid w:val="0094364D"/>
    <w:rsid w:val="009B4650"/>
    <w:rsid w:val="009E1327"/>
    <w:rsid w:val="00A46F9B"/>
    <w:rsid w:val="00A673A7"/>
    <w:rsid w:val="00A72BB6"/>
    <w:rsid w:val="00AD4BB2"/>
    <w:rsid w:val="00AE2824"/>
    <w:rsid w:val="00B3396C"/>
    <w:rsid w:val="00B42CA2"/>
    <w:rsid w:val="00B7188C"/>
    <w:rsid w:val="00BD0546"/>
    <w:rsid w:val="00BE5DF9"/>
    <w:rsid w:val="00C063A1"/>
    <w:rsid w:val="00C2593A"/>
    <w:rsid w:val="00C3174B"/>
    <w:rsid w:val="00C34B7A"/>
    <w:rsid w:val="00C36599"/>
    <w:rsid w:val="00C41158"/>
    <w:rsid w:val="00D26826"/>
    <w:rsid w:val="00D32031"/>
    <w:rsid w:val="00D42EDE"/>
    <w:rsid w:val="00D43C2B"/>
    <w:rsid w:val="00D502EC"/>
    <w:rsid w:val="00D57B9B"/>
    <w:rsid w:val="00D94BA2"/>
    <w:rsid w:val="00DF6E20"/>
    <w:rsid w:val="00E00DF2"/>
    <w:rsid w:val="00E25C4A"/>
    <w:rsid w:val="00E56C8B"/>
    <w:rsid w:val="00E933D0"/>
    <w:rsid w:val="00E969EA"/>
    <w:rsid w:val="00E96D5E"/>
    <w:rsid w:val="00EB3751"/>
    <w:rsid w:val="00EE2A0E"/>
    <w:rsid w:val="00EE7301"/>
    <w:rsid w:val="00F03E62"/>
    <w:rsid w:val="00F70735"/>
    <w:rsid w:val="00F73B0F"/>
    <w:rsid w:val="00FA2BA3"/>
    <w:rsid w:val="00FC3CF3"/>
    <w:rsid w:val="050E4732"/>
    <w:rsid w:val="08F42CA5"/>
    <w:rsid w:val="0AE47146"/>
    <w:rsid w:val="0F131F4D"/>
    <w:rsid w:val="118434AB"/>
    <w:rsid w:val="124F10E5"/>
    <w:rsid w:val="147F4BBF"/>
    <w:rsid w:val="16104E59"/>
    <w:rsid w:val="1C486990"/>
    <w:rsid w:val="1DD173D9"/>
    <w:rsid w:val="250B2A77"/>
    <w:rsid w:val="27844BB0"/>
    <w:rsid w:val="2B1449BC"/>
    <w:rsid w:val="2C7911D6"/>
    <w:rsid w:val="2F834982"/>
    <w:rsid w:val="38EB604F"/>
    <w:rsid w:val="41BB286D"/>
    <w:rsid w:val="4253255E"/>
    <w:rsid w:val="443A3632"/>
    <w:rsid w:val="46D540D8"/>
    <w:rsid w:val="4A897868"/>
    <w:rsid w:val="4E4A7E00"/>
    <w:rsid w:val="559C6BD9"/>
    <w:rsid w:val="574C11EA"/>
    <w:rsid w:val="59D253EF"/>
    <w:rsid w:val="5D802B99"/>
    <w:rsid w:val="680A43A3"/>
    <w:rsid w:val="69F83B0B"/>
    <w:rsid w:val="6BBD5B5B"/>
    <w:rsid w:val="6CC877B5"/>
    <w:rsid w:val="71F63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annotation text"/>
    <w:basedOn w:val="1"/>
    <w:link w:val="20"/>
    <w:semiHidden/>
    <w:unhideWhenUsed/>
    <w:qFormat/>
    <w:uiPriority w:val="99"/>
    <w:pPr>
      <w:jc w:val="left"/>
    </w:pPr>
  </w:style>
  <w:style w:type="paragraph" w:styleId="4">
    <w:name w:val="Body Text Indent"/>
    <w:basedOn w:val="1"/>
    <w:link w:val="17"/>
    <w:qFormat/>
    <w:uiPriority w:val="0"/>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paragraph" w:styleId="9">
    <w:name w:val="annotation subject"/>
    <w:basedOn w:val="3"/>
    <w:next w:val="3"/>
    <w:link w:val="21"/>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99"/>
    <w:pPr>
      <w:ind w:firstLine="420" w:firstLineChars="200"/>
    </w:pPr>
  </w:style>
  <w:style w:type="paragraph" w:customStyle="1" w:styleId="16">
    <w:name w:val="表格内容"/>
    <w:basedOn w:val="1"/>
    <w:qFormat/>
    <w:uiPriority w:val="0"/>
    <w:pPr>
      <w:adjustRightInd w:val="0"/>
      <w:snapToGrid w:val="0"/>
      <w:jc w:val="center"/>
    </w:pPr>
    <w:rPr>
      <w:snapToGrid w:val="0"/>
      <w:szCs w:val="18"/>
    </w:rPr>
  </w:style>
  <w:style w:type="character" w:customStyle="1" w:styleId="17">
    <w:name w:val="正文文本缩进 Char"/>
    <w:basedOn w:val="11"/>
    <w:link w:val="4"/>
    <w:qFormat/>
    <w:uiPriority w:val="0"/>
    <w:rPr>
      <w:kern w:val="2"/>
      <w:sz w:val="21"/>
    </w:rPr>
  </w:style>
  <w:style w:type="paragraph" w:customStyle="1" w:styleId="18">
    <w:name w:val="Char"/>
    <w:basedOn w:val="1"/>
    <w:qFormat/>
    <w:uiPriority w:val="0"/>
    <w:pPr>
      <w:spacing w:line="360" w:lineRule="auto"/>
    </w:pPr>
    <w:rPr>
      <w:szCs w:val="24"/>
    </w:rPr>
  </w:style>
  <w:style w:type="character" w:customStyle="1" w:styleId="19">
    <w:name w:val="批注框文本 Char"/>
    <w:basedOn w:val="11"/>
    <w:link w:val="5"/>
    <w:semiHidden/>
    <w:qFormat/>
    <w:uiPriority w:val="99"/>
    <w:rPr>
      <w:kern w:val="2"/>
      <w:sz w:val="18"/>
      <w:szCs w:val="18"/>
    </w:rPr>
  </w:style>
  <w:style w:type="character" w:customStyle="1" w:styleId="20">
    <w:name w:val="批注文字 Char"/>
    <w:basedOn w:val="11"/>
    <w:link w:val="3"/>
    <w:semiHidden/>
    <w:qFormat/>
    <w:uiPriority w:val="99"/>
    <w:rPr>
      <w:kern w:val="2"/>
      <w:sz w:val="21"/>
    </w:rPr>
  </w:style>
  <w:style w:type="character" w:customStyle="1" w:styleId="21">
    <w:name w:val="批注主题 Char"/>
    <w:basedOn w:val="20"/>
    <w:link w:val="9"/>
    <w:semiHidden/>
    <w:qFormat/>
    <w:uiPriority w:val="99"/>
    <w:rPr>
      <w:b/>
      <w:bCs/>
    </w:rPr>
  </w:style>
  <w:style w:type="paragraph" w:customStyle="1" w:styleId="22">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23">
    <w:name w:val="1正文（chuan）"/>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1471</Words>
  <Characters>1605</Characters>
  <Lines>10</Lines>
  <Paragraphs>2</Paragraphs>
  <TotalTime>9</TotalTime>
  <ScaleCrop>false</ScaleCrop>
  <LinksUpToDate>false</LinksUpToDate>
  <CharactersWithSpaces>1809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2021-05-14T08:42:00Z</dcterms:created>
  <dc:creator>User</dc:creator>
  <cp:lastModifiedBy>Administrator</cp:lastModifiedBy>
  <cp:lastPrinted>2021-08-16T08:15:00Z</cp:lastPrinted>
  <dcterms:modified xsi:type="dcterms:W3CDTF">2022-06-30T01:07:01Z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4ED948574108427AB89AF32B9F30D60C</vt:lpwstr>
  </property>
</Properties>
</file>