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967"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9" w:hRule="atLeast"/>
        </w:trPr>
        <w:tc>
          <w:tcPr>
            <w:tcW w:w="9967" w:type="dxa"/>
          </w:tcPr>
          <w:p>
            <w:pPr>
              <w:spacing w:line="340" w:lineRule="exact"/>
            </w:pPr>
            <w:r>
              <w:rPr>
                <w:rFonts w:hint="eastAsia"/>
                <w:lang w:eastAsia="zh-CN"/>
              </w:rPr>
              <w:t>生态环境</w:t>
            </w:r>
            <w:r>
              <w:t>行政主管部门审批意见：</w:t>
            </w:r>
          </w:p>
          <w:p>
            <w:pPr>
              <w:spacing w:line="340" w:lineRule="exact"/>
              <w:ind w:firstLine="420" w:firstLineChars="200"/>
              <w:jc w:val="center"/>
            </w:pPr>
            <w:r>
              <w:t xml:space="preserve">                                       </w:t>
            </w:r>
            <w:r>
              <w:rPr>
                <w:rFonts w:hint="eastAsia"/>
                <w:lang w:val="en-US" w:eastAsia="zh-CN"/>
              </w:rPr>
              <w:t xml:space="preserve">                           </w:t>
            </w:r>
            <w:r>
              <w:rPr>
                <w:rFonts w:hint="eastAsia"/>
              </w:rPr>
              <w:t>榕台环评〔2022〕</w:t>
            </w:r>
            <w:r>
              <w:rPr>
                <w:rFonts w:hint="eastAsia"/>
                <w:lang w:val="en-US" w:eastAsia="zh-CN"/>
              </w:rPr>
              <w:t>3</w:t>
            </w:r>
            <w:r>
              <w:rPr>
                <w:rFonts w:hint="eastAsia"/>
              </w:rPr>
              <w:t>号</w:t>
            </w:r>
          </w:p>
          <w:p>
            <w:pPr>
              <w:spacing w:line="340" w:lineRule="exact"/>
              <w:ind w:firstLine="420" w:firstLineChars="200"/>
            </w:pPr>
            <w:r>
              <w:rPr>
                <w:rFonts w:hint="eastAsia" w:ascii="宋体" w:hAnsi="宋体" w:eastAsia="宋体" w:cs="宋体"/>
                <w:color w:val="auto"/>
                <w:kern w:val="0"/>
                <w:szCs w:val="21"/>
              </w:rPr>
              <w:t>福州市台江区安尚宠物医院有限公司</w:t>
            </w:r>
            <w:r>
              <w:rPr>
                <w:rFonts w:ascii="Times New Roman" w:hAnsi="Times New Roman" w:cs="Times New Roman"/>
              </w:rPr>
              <w:t>报</w:t>
            </w:r>
            <w:r>
              <w:t>送的</w:t>
            </w:r>
            <w:r>
              <w:rPr>
                <w:rFonts w:hint="default" w:ascii="Times New Roman" w:hAnsi="Times New Roman" w:cs="Times New Roman"/>
              </w:rPr>
              <w:t>《</w:t>
            </w:r>
            <w:r>
              <w:rPr>
                <w:rFonts w:hint="eastAsia" w:ascii="宋体" w:hAnsi="宋体" w:eastAsia="宋体" w:cs="宋体"/>
                <w:color w:val="auto"/>
                <w:kern w:val="0"/>
                <w:szCs w:val="21"/>
              </w:rPr>
              <w:t>福州市台江区安尚宠物医院有限公司宠物医院</w:t>
            </w:r>
            <w:r>
              <w:rPr>
                <w:rFonts w:hint="default" w:ascii="宋体" w:hAnsi="宋体" w:eastAsia="宋体" w:cs="宋体"/>
                <w:color w:val="auto"/>
                <w:kern w:val="0"/>
                <w:szCs w:val="21"/>
              </w:rPr>
              <w:t>项目</w:t>
            </w:r>
            <w:r>
              <w:rPr>
                <w:rFonts w:hint="eastAsia" w:ascii="Times New Roman" w:hAnsi="Times New Roman" w:cs="Times New Roman"/>
                <w:lang w:eastAsia="zh-CN"/>
              </w:rPr>
              <w:t>建设项目</w:t>
            </w:r>
            <w:r>
              <w:rPr>
                <w:rFonts w:hint="default" w:ascii="Times New Roman" w:hAnsi="Times New Roman" w:cs="Times New Roman"/>
              </w:rPr>
              <w:t>环</w:t>
            </w:r>
            <w:r>
              <w:t>境影响报告表》（以下简称报告表）及相关申请</w:t>
            </w:r>
            <w:r>
              <w:rPr>
                <w:rFonts w:hint="eastAsia"/>
                <w:lang w:eastAsia="zh-CN"/>
              </w:rPr>
              <w:t>审批的</w:t>
            </w:r>
            <w:r>
              <w:t>材料收悉。根据《中华人民共和国环境影响评价法》第22条等规定，现提出审批意见如下：</w:t>
            </w:r>
          </w:p>
          <w:p>
            <w:pPr>
              <w:spacing w:line="340" w:lineRule="exact"/>
              <w:ind w:firstLine="420" w:firstLineChars="200"/>
              <w:rPr>
                <w:rFonts w:hint="eastAsia"/>
                <w:color w:val="auto"/>
                <w:lang w:eastAsia="zh-CN"/>
              </w:rPr>
            </w:pPr>
            <w:r>
              <w:rPr>
                <w:rFonts w:hint="eastAsia" w:cs="Times New Roman"/>
                <w:lang w:eastAsia="zh-CN"/>
              </w:rPr>
              <w:t>一、</w:t>
            </w:r>
            <w:r>
              <w:rPr>
                <w:rFonts w:hint="default" w:ascii="Times New Roman" w:hAnsi="Times New Roman" w:cs="Times New Roman"/>
              </w:rPr>
              <w:t>根据《报告表》评价结论：</w:t>
            </w:r>
            <w:r>
              <w:rPr>
                <w:rFonts w:hint="eastAsia" w:cs="Times New Roman"/>
                <w:lang w:eastAsia="zh-CN"/>
              </w:rPr>
              <w:t>同意</w:t>
            </w:r>
            <w:r>
              <w:rPr>
                <w:rFonts w:hint="eastAsia" w:ascii="宋体" w:hAnsi="宋体" w:eastAsia="宋体" w:cs="宋体"/>
                <w:color w:val="auto"/>
                <w:kern w:val="0"/>
                <w:szCs w:val="21"/>
              </w:rPr>
              <w:t>福州市台江区安尚宠物医院有限公司宠物医院</w:t>
            </w:r>
            <w:r>
              <w:rPr>
                <w:rFonts w:hint="default" w:ascii="宋体" w:hAnsi="宋体" w:eastAsia="宋体" w:cs="宋体"/>
                <w:color w:val="auto"/>
                <w:kern w:val="0"/>
                <w:szCs w:val="21"/>
              </w:rPr>
              <w:t>项目</w:t>
            </w:r>
            <w:r>
              <w:rPr>
                <w:rFonts w:hint="eastAsia" w:asciiTheme="minorEastAsia" w:hAnsiTheme="minorEastAsia" w:eastAsiaTheme="minorEastAsia" w:cstheme="minorEastAsia"/>
                <w:color w:val="auto"/>
                <w:sz w:val="21"/>
                <w:szCs w:val="21"/>
                <w:highlight w:val="none"/>
                <w:u w:val="none"/>
                <w:lang w:eastAsia="zh-CN"/>
              </w:rPr>
              <w:t>在</w:t>
            </w:r>
            <w:r>
              <w:rPr>
                <w:rFonts w:hint="eastAsia" w:ascii="Times New Roman" w:hAnsi="Times New Roman" w:cs="Times New Roman" w:eastAsiaTheme="minorEastAsia"/>
                <w:color w:val="auto"/>
                <w:kern w:val="0"/>
                <w:szCs w:val="21"/>
                <w:lang w:val="en-US" w:eastAsia="zh-CN"/>
              </w:rPr>
              <w:t>福建省福州市台江区茶亭街道广达路222号世茂茶亭臻园商业楼4#楼1层03商铺、2层03商铺</w:t>
            </w:r>
            <w:r>
              <w:rPr>
                <w:rFonts w:hint="eastAsia" w:asciiTheme="minorEastAsia" w:hAnsiTheme="minorEastAsia" w:eastAsiaTheme="minorEastAsia" w:cstheme="minorEastAsia"/>
                <w:color w:val="auto"/>
                <w:sz w:val="21"/>
                <w:szCs w:val="21"/>
                <w:highlight w:val="none"/>
                <w:u w:val="none"/>
                <w:lang w:val="en-US" w:eastAsia="zh-CN"/>
              </w:rPr>
              <w:t>建设</w:t>
            </w:r>
            <w:r>
              <w:rPr>
                <w:rFonts w:hint="eastAsia" w:asciiTheme="minorEastAsia" w:hAnsiTheme="minorEastAsia" w:eastAsiaTheme="minorEastAsia" w:cstheme="minorEastAsia"/>
                <w:color w:val="auto"/>
                <w:sz w:val="21"/>
                <w:szCs w:val="21"/>
                <w:highlight w:val="none"/>
                <w:u w:val="none"/>
              </w:rPr>
              <w:t>，</w:t>
            </w:r>
            <w:r>
              <w:rPr>
                <w:rFonts w:hint="default" w:ascii="Times New Roman" w:hAnsi="Times New Roman" w:cs="Times New Roman"/>
              </w:rPr>
              <w:t>租赁面积1</w:t>
            </w:r>
            <w:r>
              <w:rPr>
                <w:rFonts w:hint="eastAsia" w:cs="Times New Roman"/>
                <w:lang w:val="en-US" w:eastAsia="zh-CN"/>
              </w:rPr>
              <w:t>72.65</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，总投资</w:t>
            </w:r>
            <w:r>
              <w:rPr>
                <w:rFonts w:hint="eastAsia" w:cs="Times New Roman"/>
                <w:lang w:val="en-US" w:eastAsia="zh-CN"/>
              </w:rPr>
              <w:t>2</w:t>
            </w:r>
            <w:r>
              <w:rPr>
                <w:rFonts w:hint="default" w:ascii="Times New Roman" w:hAnsi="Times New Roman" w:cs="Times New Roman"/>
              </w:rPr>
              <w:t>0万元，平均宠物拟接待流量10只/d。</w:t>
            </w:r>
          </w:p>
          <w:p>
            <w:pPr>
              <w:numPr>
                <w:ilvl w:val="0"/>
                <w:numId w:val="0"/>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imes New Roman"/>
                <w:color w:val="auto"/>
                <w:lang w:eastAsia="zh-CN"/>
              </w:rPr>
              <w:t>二、</w:t>
            </w:r>
            <w:r>
              <w:rPr>
                <w:rFonts w:hint="default" w:ascii="Times New Roman" w:hAnsi="Times New Roman" w:cs="Times New Roman"/>
                <w:color w:val="auto"/>
              </w:rPr>
              <w:t>项目应落实《报告表》提出的各项污染防治措施，并重点做好以下工作：</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（1）废水</w:t>
            </w:r>
          </w:p>
          <w:p>
            <w:pPr>
              <w:spacing w:line="340" w:lineRule="exact"/>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1"/>
                <w:szCs w:val="21"/>
              </w:rPr>
              <w:t>本项目医疗废水</w:t>
            </w:r>
            <w:r>
              <w:rPr>
                <w:rFonts w:hint="default" w:ascii="Times New Roman" w:hAnsi="Times New Roman" w:cs="Times New Roman"/>
                <w:bCs/>
                <w:color w:val="auto"/>
                <w:sz w:val="21"/>
                <w:szCs w:val="21"/>
              </w:rPr>
              <w:t>经配套的污水处理设施处理后与</w:t>
            </w:r>
            <w:r>
              <w:rPr>
                <w:rFonts w:hint="default" w:ascii="Times New Roman" w:hAnsi="Times New Roman" w:cs="Times New Roman"/>
                <w:color w:val="auto"/>
                <w:sz w:val="21"/>
                <w:szCs w:val="21"/>
              </w:rPr>
              <w:t>生活污水、宠物美容废水一起经化粪池处理达到《污水综合排放标准》（GB8978-1996）表4中的三级标准排放标准（氨氮排放标准参考《污水排入城镇下水道水质标准》（GB/T31962-2015）B等级标准限值）后排入市政污水管网统一纳入洋里污水处理厂处理达标排</w:t>
            </w:r>
            <w:r>
              <w:rPr>
                <w:rFonts w:hint="default" w:ascii="Times New Roman" w:hAnsi="Times New Roman" w:cs="Times New Roman"/>
                <w:color w:val="auto"/>
                <w:lang w:val="en-US" w:eastAsia="zh-CN"/>
              </w:rPr>
              <w:t>。</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（2）废气</w:t>
            </w:r>
          </w:p>
          <w:p>
            <w:pPr>
              <w:spacing w:line="340" w:lineRule="exact"/>
              <w:ind w:firstLine="420" w:firstLineChars="200"/>
              <w:rPr>
                <w:rFonts w:hint="default" w:ascii="Times New Roman" w:hAnsi="Times New Roman" w:cs="Times New Roman"/>
                <w:color w:val="FF0000"/>
              </w:rPr>
            </w:pPr>
            <w:r>
              <w:rPr>
                <w:rFonts w:hint="default" w:ascii="Times New Roman" w:hAnsi="Times New Roman" w:cs="Times New Roman"/>
                <w:color w:val="auto"/>
              </w:rPr>
              <w:t>本项目采用一体化封闭的污水处理措施，且设于室内，则污水处理设施产生的臭味对周边住宅楼无显著影响。</w:t>
            </w:r>
            <w:r>
              <w:rPr>
                <w:rFonts w:hint="eastAsia" w:ascii="Times New Roman" w:hAnsi="Times New Roman" w:cs="Times New Roman"/>
                <w:color w:val="auto"/>
                <w:sz w:val="21"/>
                <w:szCs w:val="21"/>
                <w:lang w:val="en-US" w:eastAsia="zh-CN"/>
              </w:rPr>
              <w:t>通过增加清洗、设置新风系统、喷洒除臭剂等方式，防治恶臭污染，项目运行过程中若因恶臭等问题引起投诉，应当加强配套生物除臭、活性炭除臭等相关工程措施。</w:t>
            </w:r>
            <w:r>
              <w:rPr>
                <w:rFonts w:hint="default" w:ascii="Times New Roman" w:hAnsi="Times New Roman" w:cs="Times New Roman"/>
                <w:color w:val="auto"/>
              </w:rPr>
              <w:t>臭气浓度排放</w:t>
            </w:r>
            <w:r>
              <w:rPr>
                <w:rFonts w:hint="default" w:ascii="Times New Roman" w:hAnsi="Times New Roman" w:cs="Times New Roman"/>
                <w:color w:val="auto"/>
                <w:lang w:eastAsia="zh-CN"/>
              </w:rPr>
              <w:t>达到</w:t>
            </w:r>
            <w:r>
              <w:rPr>
                <w:rFonts w:hint="default" w:ascii="Times New Roman" w:hAnsi="Times New Roman" w:cs="Times New Roman"/>
                <w:color w:val="auto"/>
              </w:rPr>
              <w:t>《恶臭污染物排放标准》（GB14554-93）中相关标准</w:t>
            </w:r>
            <w:r>
              <w:rPr>
                <w:rFonts w:hint="default" w:ascii="Times New Roman" w:hAnsi="Times New Roman" w:cs="Times New Roman"/>
                <w:color w:val="auto"/>
                <w:lang w:eastAsia="zh-CN"/>
              </w:rPr>
              <w:t>和</w:t>
            </w:r>
            <w:r>
              <w:rPr>
                <w:rFonts w:hint="default" w:ascii="Times New Roman" w:hAnsi="Times New Roman" w:cs="Times New Roman"/>
                <w:color w:val="auto"/>
                <w:lang w:val="en-US" w:eastAsia="zh-CN"/>
              </w:rPr>
              <w:t>《中华人民共和国大气污染防治法》(2016年实施）</w:t>
            </w:r>
            <w:r>
              <w:rPr>
                <w:rFonts w:hint="default" w:ascii="Times New Roman" w:hAnsi="Times New Roman" w:cs="Times New Roman"/>
                <w:color w:val="auto"/>
              </w:rPr>
              <w:t>。</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（3）噪声</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rPr>
              <w:t>项</w:t>
            </w:r>
            <w:r>
              <w:rPr>
                <w:rFonts w:hint="default" w:ascii="Times New Roman" w:hAnsi="Times New Roman" w:cs="Times New Roman"/>
                <w:color w:val="auto"/>
                <w:sz w:val="21"/>
                <w:szCs w:val="21"/>
                <w:lang w:val="en-US" w:eastAsia="zh-CN"/>
              </w:rPr>
              <w:t>目运营期噪声主要为宠物叫声。项目产生的噪声经过距离衰减，再经过墙体衰减后[一般可削减10－15dB(A)]，厂界噪声执行《社会生活环境噪声排放标准》(GB22337-2008)表1的2类标准，</w:t>
            </w:r>
            <w:r>
              <w:rPr>
                <w:rFonts w:hint="eastAsia" w:ascii="Times New Roman" w:hAnsi="Times New Roman" w:cs="Times New Roman"/>
                <w:color w:val="auto"/>
                <w:sz w:val="21"/>
                <w:szCs w:val="21"/>
                <w:lang w:val="en-US" w:eastAsia="zh-CN"/>
              </w:rPr>
              <w:t>南</w:t>
            </w:r>
            <w:r>
              <w:rPr>
                <w:rFonts w:hint="default" w:ascii="Times New Roman" w:hAnsi="Times New Roman" w:cs="Times New Roman"/>
                <w:color w:val="auto"/>
                <w:sz w:val="21"/>
                <w:szCs w:val="21"/>
                <w:lang w:val="en-US" w:eastAsia="zh-CN"/>
              </w:rPr>
              <w:t>侧执行4类标准。对周围环境的影响不大。</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（4）固废</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项目运营期固体废物主要是医疗废物、废水处理污泥和生活垃圾。</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医疗废物属于《国家危险废物名录》中HW01医疗废物，往往带有大量细菌，必须安全处置。医疗废物单独收集暂存于医疗废物收集桶，定期交由有资质的单位安全处置。危废暂存处做到防风、防雨、防晒、防渗。危废暂存间场地按照《危险废物贮存污染控制标准》（GB18597-2001及2013年修改单）相关要求进行防渗、防漏处理。危险废物运输应由持有危险废物经营许可证的单位按照其许可证的经营范围组织实施，承担危险废物运输的单位应获得交通运输部门颁发的危险货物运输资质。</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污水处理设施产生的污泥含有病原微生物。属于HW01医疗废物：每年定期清掏一次，交由有资质的单位安全处置。</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生活垃圾：分类收集，定点堆放，定期交由环卫部门统一清运处理，并对垃圾堆放点定期进行消毒、杀灭害虫、以免散发恶臭，滋生蚊蝇。</w:t>
            </w:r>
          </w:p>
          <w:p>
            <w:pPr>
              <w:pStyle w:val="24"/>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Theme="minorEastAsia"/>
                <w:color w:val="auto"/>
                <w:lang w:eastAsia="zh-CN"/>
              </w:rPr>
            </w:pPr>
            <w:r>
              <w:rPr>
                <w:rFonts w:hint="eastAsia" w:ascii="Times New Roman" w:hAnsi="Times New Roman" w:cs="Times New Roman" w:eastAsiaTheme="minorEastAsia"/>
                <w:bCs w:val="0"/>
                <w:color w:val="auto"/>
                <w:kern w:val="2"/>
                <w:sz w:val="21"/>
                <w:szCs w:val="22"/>
                <w:lang w:val="en-US" w:eastAsia="zh-CN" w:bidi="ar-SA"/>
              </w:rPr>
              <w:t>废包装袋：按照要求建设单位</w:t>
            </w:r>
            <w:r>
              <w:rPr>
                <w:rFonts w:hint="eastAsia" w:ascii="Times New Roman" w:hAnsi="Times New Roman"/>
                <w:bCs w:val="0"/>
                <w:color w:val="auto"/>
                <w:sz w:val="21"/>
                <w:szCs w:val="21"/>
                <w:highlight w:val="none"/>
                <w:lang w:val="en-US" w:eastAsia="zh-CN"/>
              </w:rPr>
              <w:t>对废包装袋统一收集，定点堆放，定期交由环卫部门统一清运处理。</w:t>
            </w:r>
          </w:p>
          <w:p>
            <w:pPr>
              <w:numPr>
                <w:ilvl w:val="0"/>
                <w:numId w:val="1"/>
              </w:numPr>
              <w:spacing w:line="340" w:lineRule="exact"/>
              <w:ind w:firstLine="420" w:firstLineChars="200"/>
              <w:rPr>
                <w:rFonts w:hint="eastAsia"/>
                <w:lang w:val="en-US" w:eastAsia="zh-CN"/>
              </w:rPr>
            </w:pPr>
            <w:r>
              <w:rPr>
                <w:rFonts w:hint="default" w:ascii="Times New Roman" w:hAnsi="Times New Roman" w:cs="Times New Roman"/>
              </w:rPr>
              <w:t>该项目应严格执行环保“三同时”制度，及时开展竣工环保验收，验收合格后方可投入使用。我局委托福州市台江生态环境局执法大队组织开展 “三同时”监督检查和日常监督管理</w:t>
            </w:r>
            <w:r>
              <w:rPr>
                <w:rFonts w:hint="eastAsia" w:cs="Times New Roman"/>
                <w:lang w:eastAsia="zh-CN"/>
              </w:rPr>
              <w:t>。</w:t>
            </w:r>
          </w:p>
          <w:p>
            <w:pPr>
              <w:spacing w:line="340" w:lineRule="exact"/>
              <w:rPr>
                <w:rFonts w:hint="eastAsia" w:eastAsia="宋体"/>
                <w:lang w:val="en-US" w:eastAsia="zh-CN"/>
              </w:rPr>
            </w:pPr>
            <w:r>
              <w:rPr>
                <w:rFonts w:hint="default" w:ascii="Times New Roman" w:hAnsi="Times New Roman" w:cs="Times New Roman"/>
              </w:rPr>
              <w:t xml:space="preserve">经办人: </w:t>
            </w:r>
            <w:r>
              <w:rPr>
                <w:rFonts w:hint="eastAsia" w:cs="Times New Roman"/>
                <w:lang w:val="en-US" w:eastAsia="zh-CN"/>
              </w:rPr>
              <w:t xml:space="preserve">                                                            </w:t>
            </w:r>
            <w:r>
              <w:rPr>
                <w:rFonts w:hint="eastAsia"/>
                <w:lang w:val="en-US" w:eastAsia="zh-CN"/>
              </w:rPr>
              <w:t xml:space="preserve">   </w:t>
            </w:r>
            <w:r>
              <w:t>福州市生态环境</w:t>
            </w:r>
            <w:r>
              <w:rPr>
                <w:rFonts w:hint="eastAsia"/>
                <w:lang w:eastAsia="zh-CN"/>
              </w:rPr>
              <w:t>局</w:t>
            </w:r>
          </w:p>
          <w:p>
            <w:pPr>
              <w:spacing w:line="340" w:lineRule="exact"/>
              <w:ind w:firstLine="420" w:firstLineChars="200"/>
            </w:pPr>
            <w:r>
              <w:rPr>
                <w:rFonts w:hint="eastAsia"/>
                <w:lang w:val="en-US" w:eastAsia="zh-CN"/>
              </w:rPr>
              <w:t xml:space="preserve">                                                                   2022 </w:t>
            </w:r>
            <w:r>
              <w:t>年</w:t>
            </w:r>
            <w:r>
              <w:rPr>
                <w:rFonts w:hint="eastAsia"/>
                <w:lang w:val="en-US" w:eastAsia="zh-CN"/>
              </w:rPr>
              <w:t>11</w:t>
            </w:r>
            <w:r>
              <w:t>月</w:t>
            </w:r>
            <w:r>
              <w:rPr>
                <w:rFonts w:hint="eastAsia"/>
                <w:lang w:val="en-US" w:eastAsia="zh-CN"/>
              </w:rPr>
              <w:t>3</w:t>
            </w:r>
            <w:r>
              <w:t>日</w:t>
            </w:r>
          </w:p>
        </w:tc>
      </w:tr>
    </w:tbl>
    <w:p>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4D2B"/>
    <w:multiLevelType w:val="singleLevel"/>
    <w:tmpl w:val="A9564D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50E4732"/>
    <w:rsid w:val="06631998"/>
    <w:rsid w:val="08F42CA5"/>
    <w:rsid w:val="0AE47146"/>
    <w:rsid w:val="0F131F4D"/>
    <w:rsid w:val="118434AB"/>
    <w:rsid w:val="124F10E5"/>
    <w:rsid w:val="147F4BBF"/>
    <w:rsid w:val="16104E59"/>
    <w:rsid w:val="1C486990"/>
    <w:rsid w:val="1DD173D9"/>
    <w:rsid w:val="250B2A77"/>
    <w:rsid w:val="27844BB0"/>
    <w:rsid w:val="2B1449BC"/>
    <w:rsid w:val="2C7911D6"/>
    <w:rsid w:val="2F834982"/>
    <w:rsid w:val="33780CF4"/>
    <w:rsid w:val="38EB604F"/>
    <w:rsid w:val="3BF122DD"/>
    <w:rsid w:val="3FD75D85"/>
    <w:rsid w:val="41BB286D"/>
    <w:rsid w:val="4253255E"/>
    <w:rsid w:val="443A3632"/>
    <w:rsid w:val="46D540D8"/>
    <w:rsid w:val="4A897868"/>
    <w:rsid w:val="4E2E0EA5"/>
    <w:rsid w:val="4E4A7E00"/>
    <w:rsid w:val="559C6BD9"/>
    <w:rsid w:val="574C11EA"/>
    <w:rsid w:val="59D253EF"/>
    <w:rsid w:val="5D802B99"/>
    <w:rsid w:val="60A14F2E"/>
    <w:rsid w:val="680A43A3"/>
    <w:rsid w:val="69F83B0B"/>
    <w:rsid w:val="6BBD5B5B"/>
    <w:rsid w:val="6CC877B5"/>
    <w:rsid w:val="71F63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qFormat/>
    <w:uiPriority w:val="0"/>
    <w:pPr>
      <w:spacing w:line="360" w:lineRule="auto"/>
      <w:ind w:firstLine="480" w:firstLineChars="200"/>
    </w:pPr>
    <w:rPr>
      <w:rFonts w:ascii="宋体" w:hAnsi="宋体"/>
      <w:color w:val="000000"/>
      <w:kern w:val="24"/>
      <w:szCs w:val="20"/>
    </w:rPr>
  </w:style>
  <w:style w:type="paragraph" w:styleId="3">
    <w:name w:val="Normal Indent"/>
    <w:basedOn w:val="1"/>
    <w:next w:val="1"/>
    <w:qFormat/>
    <w:uiPriority w:val="0"/>
    <w:pPr>
      <w:ind w:firstLine="420"/>
    </w:pPr>
  </w:style>
  <w:style w:type="paragraph" w:styleId="4">
    <w:name w:val="annotation text"/>
    <w:basedOn w:val="1"/>
    <w:link w:val="22"/>
    <w:semiHidden/>
    <w:unhideWhenUsed/>
    <w:qFormat/>
    <w:uiPriority w:val="99"/>
    <w:pPr>
      <w:jc w:val="left"/>
    </w:pPr>
  </w:style>
  <w:style w:type="paragraph" w:styleId="5">
    <w:name w:val="Body Text Indent"/>
    <w:basedOn w:val="1"/>
    <w:link w:val="19"/>
    <w:qFormat/>
    <w:uiPriority w:val="0"/>
    <w:pPr>
      <w:spacing w:after="120"/>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styleId="17">
    <w:name w:val="List Paragraph"/>
    <w:basedOn w:val="1"/>
    <w:qFormat/>
    <w:uiPriority w:val="99"/>
    <w:pPr>
      <w:ind w:firstLine="420" w:firstLineChars="200"/>
    </w:pPr>
  </w:style>
  <w:style w:type="paragraph" w:customStyle="1" w:styleId="18">
    <w:name w:val="表格内容"/>
    <w:basedOn w:val="1"/>
    <w:qFormat/>
    <w:uiPriority w:val="0"/>
    <w:pPr>
      <w:adjustRightInd w:val="0"/>
      <w:snapToGrid w:val="0"/>
      <w:jc w:val="center"/>
    </w:pPr>
    <w:rPr>
      <w:snapToGrid w:val="0"/>
      <w:szCs w:val="18"/>
    </w:rPr>
  </w:style>
  <w:style w:type="character" w:customStyle="1" w:styleId="19">
    <w:name w:val="正文文本缩进 Char"/>
    <w:basedOn w:val="13"/>
    <w:link w:val="5"/>
    <w:qFormat/>
    <w:uiPriority w:val="0"/>
    <w:rPr>
      <w:kern w:val="2"/>
      <w:sz w:val="21"/>
    </w:rPr>
  </w:style>
  <w:style w:type="paragraph" w:customStyle="1" w:styleId="20">
    <w:name w:val="Char"/>
    <w:basedOn w:val="1"/>
    <w:qFormat/>
    <w:uiPriority w:val="0"/>
    <w:pPr>
      <w:spacing w:line="360" w:lineRule="auto"/>
    </w:pPr>
    <w:rPr>
      <w:szCs w:val="24"/>
    </w:rPr>
  </w:style>
  <w:style w:type="character" w:customStyle="1" w:styleId="21">
    <w:name w:val="批注框文本 Char"/>
    <w:basedOn w:val="13"/>
    <w:link w:val="6"/>
    <w:semiHidden/>
    <w:qFormat/>
    <w:uiPriority w:val="99"/>
    <w:rPr>
      <w:kern w:val="2"/>
      <w:sz w:val="18"/>
      <w:szCs w:val="18"/>
    </w:rPr>
  </w:style>
  <w:style w:type="character" w:customStyle="1" w:styleId="22">
    <w:name w:val="批注文字 Char"/>
    <w:basedOn w:val="13"/>
    <w:link w:val="4"/>
    <w:semiHidden/>
    <w:qFormat/>
    <w:uiPriority w:val="99"/>
    <w:rPr>
      <w:kern w:val="2"/>
      <w:sz w:val="21"/>
    </w:rPr>
  </w:style>
  <w:style w:type="character" w:customStyle="1" w:styleId="23">
    <w:name w:val="批注主题 Char"/>
    <w:basedOn w:val="22"/>
    <w:link w:val="10"/>
    <w:semiHidden/>
    <w:qFormat/>
    <w:uiPriority w:val="99"/>
    <w:rPr>
      <w:b/>
      <w:bCs/>
    </w:rPr>
  </w:style>
  <w:style w:type="paragraph" w:customStyle="1" w:styleId="24">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25">
    <w:name w:val="1正文（chuan）"/>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1182</Words>
  <Characters>1278</Characters>
  <Lines>10</Lines>
  <Paragraphs>2</Paragraphs>
  <TotalTime>3</TotalTime>
  <ScaleCrop>false</ScaleCrop>
  <LinksUpToDate>false</LinksUpToDate>
  <CharactersWithSpaces>1483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NTKO</cp:lastModifiedBy>
  <cp:lastPrinted>2022-09-29T03:47:00Z</cp:lastPrinted>
  <dcterms:modified xsi:type="dcterms:W3CDTF">2022-11-03T02:20:52Z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4ED948574108427AB89AF32B9F30D60C</vt:lpwstr>
  </property>
</Properties>
</file>