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07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1" w:hRule="atLeast"/>
        </w:trPr>
        <w:tc>
          <w:tcPr>
            <w:tcW w:w="9075" w:type="dxa"/>
          </w:tcPr>
          <w:p>
            <w:pPr>
              <w:spacing w:line="340" w:lineRule="exact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生态环境</w:t>
            </w:r>
            <w:r>
              <w:t>行</w:t>
            </w:r>
            <w:r>
              <w:rPr>
                <w:color w:val="auto"/>
              </w:rPr>
              <w:t>政主管部门审批意见：</w:t>
            </w:r>
          </w:p>
          <w:p>
            <w:pPr>
              <w:spacing w:line="340" w:lineRule="exact"/>
              <w:ind w:firstLine="420" w:firstLineChars="20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</w:rPr>
              <w:t>榕台环评〔202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号</w:t>
            </w:r>
          </w:p>
          <w:p>
            <w:pPr>
              <w:spacing w:line="340" w:lineRule="exact"/>
              <w:ind w:firstLine="420" w:firstLineChars="200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中石化森美（福建）石油有限公司福州工业路加油站</w:t>
            </w:r>
            <w:r>
              <w:rPr>
                <w:rFonts w:ascii="Times New Roman" w:hAnsi="Times New Roman" w:cs="Times New Roman"/>
                <w:color w:val="auto"/>
              </w:rPr>
              <w:t>报</w:t>
            </w:r>
            <w:r>
              <w:rPr>
                <w:color w:val="auto"/>
              </w:rPr>
              <w:t>送的</w:t>
            </w:r>
            <w:r>
              <w:rPr>
                <w:rFonts w:hint="default" w:ascii="Times New Roman" w:hAnsi="Times New Roman" w:cs="Times New Roman"/>
                <w:color w:val="auto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中石化森美（福建）石油有限公司福州工业路加油站</w:t>
            </w:r>
            <w:r>
              <w:rPr>
                <w:color w:val="auto"/>
              </w:rPr>
              <w:t>》（以下简称报告表</w:t>
            </w:r>
            <w:bookmarkStart w:id="0" w:name="_GoBack"/>
            <w:bookmarkEnd w:id="0"/>
            <w:r>
              <w:rPr>
                <w:color w:val="auto"/>
              </w:rPr>
              <w:t>）及相关申请</w:t>
            </w:r>
            <w:r>
              <w:rPr>
                <w:rFonts w:hint="eastAsia"/>
                <w:color w:val="auto"/>
                <w:lang w:eastAsia="zh-CN"/>
              </w:rPr>
              <w:t>审批的</w:t>
            </w:r>
            <w:r>
              <w:rPr>
                <w:color w:val="auto"/>
              </w:rPr>
              <w:t>材料收悉。根据《中华人民共和国环境影响评价法》第22条等规定，现提出审批意见如下：</w:t>
            </w:r>
          </w:p>
          <w:p>
            <w:pPr>
              <w:spacing w:line="340" w:lineRule="exact"/>
              <w:ind w:firstLine="42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一、</w:t>
            </w:r>
            <w:r>
              <w:rPr>
                <w:rFonts w:hint="default" w:ascii="Times New Roman" w:hAnsi="Times New Roman" w:cs="Times New Roman"/>
                <w:color w:val="auto"/>
              </w:rPr>
              <w:t>根据《报告表》评价结论：</w:t>
            </w:r>
            <w:r>
              <w:rPr>
                <w:rFonts w:hint="eastAsia" w:cs="Times New Roman"/>
                <w:color w:val="auto"/>
                <w:lang w:eastAsia="zh-CN"/>
              </w:rPr>
              <w:t>同意中石化森美（福建）石油有限公司福州工业路加油站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在福建省福州市台江区工业路中央商务区北侧A-1地块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二、</w:t>
            </w:r>
            <w:r>
              <w:rPr>
                <w:rFonts w:hint="default" w:ascii="Times New Roman" w:hAnsi="Times New Roman" w:cs="Times New Roman"/>
                <w:color w:val="auto"/>
              </w:rPr>
              <w:t>项目应落实《报告表》提出的各项污染防治措施，并重点做好以下工作：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color w:val="auto"/>
              </w:rPr>
              <w:t>废气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本项目通过</w:t>
            </w:r>
            <w:r>
              <w:rPr>
                <w:rFonts w:ascii="Times New Roman" w:hAnsi="Times New Roman"/>
                <w:color w:val="auto"/>
                <w:szCs w:val="21"/>
              </w:rPr>
              <w:t>安装油气回收及排放处理系统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szCs w:val="21"/>
              </w:rPr>
              <w:t>卸油车安装卸油油气回收装置，加油机配备加油油气回收装置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等方式，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防止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加油站运营过程中储油罐呼吸、油罐车卸油损失、加油作业损失、加油跑、冒、滴、漏挥发的油气、汽车尾气等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造成燃料油以气态形式逸出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运营期油气处理装置排放的油气（非甲烷总烃）执行《加油站大气污染物排放标准》（GB20952-20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厂界无组织油气排放执行《加油站大气污染物排放标准》（GB20952-20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）表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3中油气浓度无组织排放限值要求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，站区内无组织油气排放执行《挥发性有机物无组织排放控制标准》（GB37822-2019）表A.1规定的排放限值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）废水</w:t>
            </w:r>
          </w:p>
          <w:p>
            <w:pPr>
              <w:spacing w:line="340" w:lineRule="exact"/>
              <w:ind w:firstLine="420" w:firstLineChars="200"/>
              <w:rPr>
                <w:rFonts w:hint="default"/>
                <w:color w:val="FF000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项目地面冲洗废水经设置于加油站四周的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油沟收集后进入隔油池内进行处理，生活废水经化粪池进行处理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项目废水经处理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达标后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汇集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进入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市政污水管网，纳入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zh-CN" w:eastAsia="zh-CN"/>
              </w:rPr>
              <w:t>福州市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zh-CN"/>
              </w:rPr>
              <w:t>洋里污水处理厂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color w:val="auto"/>
              </w:rPr>
              <w:t>《污水综合排放标准》（GB8978-1996）表4中三级标准要求（其中NH</w:t>
            </w:r>
            <w:r>
              <w:rPr>
                <w:color w:val="auto"/>
                <w:vertAlign w:val="subscript"/>
              </w:rPr>
              <w:t>3</w:t>
            </w:r>
            <w:r>
              <w:rPr>
                <w:color w:val="auto"/>
              </w:rPr>
              <w:t>-N参照执行《污水排入城镇下水道水质标准》（GB/T31962-2015）表1中B级标准）。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20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4"/>
                <w:sz w:val="21"/>
                <w:szCs w:val="20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4"/>
                <w:sz w:val="21"/>
                <w:szCs w:val="20"/>
                <w:lang w:val="en-US" w:eastAsia="zh-CN" w:bidi="ar-SA"/>
              </w:rPr>
              <w:t>噪声</w:t>
            </w:r>
          </w:p>
          <w:p>
            <w:pPr>
              <w:pStyle w:val="30"/>
              <w:spacing w:before="24" w:after="24"/>
              <w:ind w:firstLine="420" w:firstLineChars="200"/>
              <w:jc w:val="left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建设单位</w:t>
            </w:r>
            <w:r>
              <w:rPr>
                <w:rFonts w:ascii="Times New Roman"/>
                <w:color w:val="auto"/>
              </w:rPr>
              <w:t>选用低噪声级设备；</w:t>
            </w:r>
            <w:r>
              <w:rPr>
                <w:color w:val="auto"/>
              </w:rPr>
              <w:t>采用设备减振、</w:t>
            </w:r>
            <w:r>
              <w:rPr>
                <w:rFonts w:hint="eastAsia"/>
                <w:color w:val="auto"/>
              </w:rPr>
              <w:t>厂区</w:t>
            </w:r>
            <w:r>
              <w:rPr>
                <w:color w:val="auto"/>
              </w:rPr>
              <w:t>绿化降噪等措施。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项目北侧、西侧、南侧厂界噪声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执行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《工业企业厂界环境噪声排放标准》（GB12348-2008）中的4类标准限值，项目东侧厂界噪声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执行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《工业企业厂界环境噪声排放标准》（GB12348-2008）中的2类标准限值。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200"/>
              <w:jc w:val="left"/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固废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隔油池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油</w:t>
            </w:r>
            <w:r>
              <w:rPr>
                <w:rFonts w:ascii="Times New Roman" w:hAnsi="Times New Roman"/>
                <w:color w:val="auto"/>
                <w:szCs w:val="21"/>
              </w:rPr>
              <w:t>泥及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废油渣暂存于危险废物暂存间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zh-CN" w:eastAsia="zh-CN" w:bidi="ar"/>
              </w:rPr>
              <w:t>委托有资质的危废处置单位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zh-CN" w:eastAsia="zh-CN" w:bidi="ar"/>
              </w:rPr>
              <w:t>及时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zh-CN" w:eastAsia="zh-CN" w:bidi="ar"/>
              </w:rPr>
              <w:t>处理</w:t>
            </w:r>
            <w:r>
              <w:rPr>
                <w:rFonts w:ascii="Times New Roman" w:hAnsi="Times New Roman"/>
                <w:color w:val="auto"/>
                <w:szCs w:val="21"/>
              </w:rPr>
              <w:t>；含油废抹布及生活垃圾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：分类收集，定点堆放，定期交由环卫部门统一清运处理，并对垃圾堆放点定期进行消毒、杀灭害虫、以免散发恶臭，滋生蚊蝇。</w:t>
            </w:r>
          </w:p>
          <w:p>
            <w:pPr>
              <w:numPr>
                <w:ilvl w:val="0"/>
                <w:numId w:val="0"/>
              </w:numPr>
              <w:ind w:leftChars="200"/>
              <w:jc w:val="both"/>
              <w:rPr>
                <w:rFonts w:hint="eastAsia" w:ascii="Times New Roman" w:hAnsi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5）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土壤及地下水环境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厂区内地面全部采用水泥抹面，加油区和油罐区采取更严格的硬化和防渗处理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。项目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埋地油罐采用内钢外玻璃纤维增强塑料双层壁埋地储油罐，内、外罐壁厚分别不应小于6mm和4mm，并且油罐底板采用30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cm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或50cm厚钢筋混凝土筏板；项目埋地加油管道采用满足工艺需求的双层复合管；项目隔油池采用抗渗钢筋混凝土整体浇筑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项目应做好以下</w:t>
            </w:r>
            <w:r>
              <w:rPr>
                <w:color w:val="auto"/>
                <w:spacing w:val="-8"/>
                <w:szCs w:val="21"/>
              </w:rPr>
              <w:t>环境风险防范措施</w:t>
            </w:r>
            <w:r>
              <w:rPr>
                <w:rFonts w:hint="eastAsia" w:eastAsia="Times New Roman" w:cs="Times New Roman"/>
                <w:color w:val="auto"/>
                <w:sz w:val="21"/>
                <w:szCs w:val="21"/>
                <w:lang w:val="zh-CN"/>
              </w:rPr>
              <w:t>项目：油储罐应设置为为双层罐；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  <w:lang w:val="zh-CN"/>
              </w:rPr>
              <w:t>采取防火、防爆等措施，配备消防砂池、灭火器</w:t>
            </w:r>
            <w:r>
              <w:rPr>
                <w:rFonts w:hint="eastAsia" w:eastAsia="Times New Roman" w:cs="Times New Roman"/>
                <w:color w:val="auto"/>
                <w:sz w:val="21"/>
                <w:szCs w:val="21"/>
                <w:lang w:val="zh-CN"/>
              </w:rPr>
              <w:t>、吸油毡、水泵、防护装备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  <w:lang w:val="zh-CN"/>
              </w:rPr>
              <w:t>等消防设施</w:t>
            </w:r>
            <w:r>
              <w:rPr>
                <w:rFonts w:hint="eastAsia" w:eastAsia="Times New Roman" w:cs="Times New Roman"/>
                <w:color w:val="auto"/>
                <w:sz w:val="21"/>
                <w:szCs w:val="21"/>
                <w:lang w:val="zh-CN"/>
              </w:rPr>
              <w:t>；通气管管口安装阻火器等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，并制定加油站突发环境事件应急预案。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三、总量控制：，该项目 VOCs(以非甲烷总烃计)的排放总量为1.429t/a， VOCs 排放量按不低于 1.2 倍进行倍量替代，项目 VOCs 替代量为1.429t/a*1.2=1.715t/a，未超过原福州石油公司工业路加油站项目 VOCs 排放量4.66t/a，因此，中石化森美（福建）石油有限公司福州工业路加油站项目 VOCs 排放量可直接从原福州石油公司工业路加油站环评项目中调剂。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四、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建设单位</w:t>
            </w:r>
            <w:r>
              <w:rPr>
                <w:rFonts w:hint="eastAsia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4"/>
                <w:sz w:val="21"/>
                <w:szCs w:val="20"/>
                <w:lang w:val="en-US" w:eastAsia="zh-CN" w:bidi="ar-SA"/>
              </w:rPr>
              <w:t>严格落实环保“三同时”制度，认真落实报告表提出的各项环保对策措施，加强环境管理与监测，从环境保护角度分析，项目的建设是可行的。</w:t>
            </w:r>
            <w:r>
              <w:rPr>
                <w:rFonts w:hint="eastAsia" w:cs="Times New Roman"/>
                <w:color w:val="auto"/>
                <w:lang w:eastAsia="zh-CN"/>
              </w:rPr>
              <w:t xml:space="preserve">我局委托福州市台江生态环境保护综合执法大队开展项目环保“三同时”监督监察和竣工环保验收后的日常环保监督管理工作。    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经办人: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ind w:firstLine="4620" w:firstLineChars="2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>福州市生态环境</w:t>
            </w:r>
            <w:r>
              <w:rPr>
                <w:rFonts w:hint="eastAsia"/>
                <w:lang w:eastAsia="zh-CN"/>
              </w:rPr>
              <w:t>局</w:t>
            </w:r>
          </w:p>
          <w:p>
            <w:pPr>
              <w:spacing w:line="34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2023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t>日</w:t>
            </w:r>
          </w:p>
        </w:tc>
      </w:tr>
    </w:tbl>
    <w:p/>
    <w:sectPr>
      <w:pgSz w:w="11906" w:h="16838"/>
      <w:pgMar w:top="567" w:right="1757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2U0YzUxMTAyYzMwMDE4N2Q2MDVkN2M1ZTZlMWYifQ=="/>
  </w:docVars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41B3BAA"/>
    <w:rsid w:val="050E4732"/>
    <w:rsid w:val="06631998"/>
    <w:rsid w:val="08F42CA5"/>
    <w:rsid w:val="0AE47146"/>
    <w:rsid w:val="0F131F4D"/>
    <w:rsid w:val="118434AB"/>
    <w:rsid w:val="124F10E5"/>
    <w:rsid w:val="147F4BBF"/>
    <w:rsid w:val="16104E59"/>
    <w:rsid w:val="18473978"/>
    <w:rsid w:val="1AF91B00"/>
    <w:rsid w:val="1B5D1E74"/>
    <w:rsid w:val="1C486990"/>
    <w:rsid w:val="1DD173D9"/>
    <w:rsid w:val="1F562CD8"/>
    <w:rsid w:val="250B2A77"/>
    <w:rsid w:val="251E1509"/>
    <w:rsid w:val="254A2079"/>
    <w:rsid w:val="27844BB0"/>
    <w:rsid w:val="2A1E075D"/>
    <w:rsid w:val="2A2A7127"/>
    <w:rsid w:val="2B1449BC"/>
    <w:rsid w:val="2C7911D6"/>
    <w:rsid w:val="2F355876"/>
    <w:rsid w:val="2F834982"/>
    <w:rsid w:val="33780CF4"/>
    <w:rsid w:val="36EB6276"/>
    <w:rsid w:val="38EB604F"/>
    <w:rsid w:val="3AA01AB2"/>
    <w:rsid w:val="3BF122DD"/>
    <w:rsid w:val="3FD75D85"/>
    <w:rsid w:val="40D70CC1"/>
    <w:rsid w:val="41BB286D"/>
    <w:rsid w:val="4253255E"/>
    <w:rsid w:val="443A3632"/>
    <w:rsid w:val="46D540D8"/>
    <w:rsid w:val="4A897868"/>
    <w:rsid w:val="4E2E0EA5"/>
    <w:rsid w:val="4E4A7E00"/>
    <w:rsid w:val="559C6BD9"/>
    <w:rsid w:val="574C11EA"/>
    <w:rsid w:val="59D253EF"/>
    <w:rsid w:val="5D802B99"/>
    <w:rsid w:val="680A43A3"/>
    <w:rsid w:val="69F83B0B"/>
    <w:rsid w:val="6A0D3843"/>
    <w:rsid w:val="6BBD5B5B"/>
    <w:rsid w:val="6CC877B5"/>
    <w:rsid w:val="71F63242"/>
    <w:rsid w:val="79E42C79"/>
    <w:rsid w:val="7A340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unhideWhenUsed/>
    <w:qFormat/>
    <w:uiPriority w:val="99"/>
    <w:pPr>
      <w:spacing w:line="360" w:lineRule="auto"/>
      <w:ind w:left="0" w:leftChars="0" w:firstLine="1044" w:firstLineChars="200"/>
    </w:pPr>
    <w:rPr>
      <w:kern w:val="2"/>
    </w:rPr>
  </w:style>
  <w:style w:type="paragraph" w:styleId="3">
    <w:name w:val="Body Text First Indent"/>
    <w:basedOn w:val="4"/>
    <w:next w:val="1"/>
    <w:qFormat/>
    <w:uiPriority w:val="0"/>
    <w:pPr>
      <w:widowControl w:val="0"/>
      <w:snapToGrid/>
      <w:spacing w:before="0" w:after="120" w:line="360" w:lineRule="auto"/>
      <w:ind w:right="0" w:firstLine="200" w:firstLineChars="200"/>
    </w:pPr>
    <w:rPr>
      <w:snapToGrid w:val="0"/>
      <w:color w:val="000000"/>
      <w:kern w:val="2"/>
      <w:sz w:val="24"/>
    </w:rPr>
  </w:style>
  <w:style w:type="paragraph" w:styleId="4">
    <w:name w:val="Body Text"/>
    <w:basedOn w:val="1"/>
    <w:next w:val="5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</w:style>
  <w:style w:type="paragraph" w:styleId="7">
    <w:name w:val="annotation text"/>
    <w:basedOn w:val="1"/>
    <w:link w:val="26"/>
    <w:unhideWhenUsed/>
    <w:qFormat/>
    <w:uiPriority w:val="99"/>
    <w:pPr>
      <w:jc w:val="left"/>
    </w:pPr>
  </w:style>
  <w:style w:type="paragraph" w:styleId="8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27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8">
    <w:name w:val="正文(首行缩进)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24"/>
      <w:szCs w:val="20"/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表格内容"/>
    <w:basedOn w:val="1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23">
    <w:name w:val="正文文本缩进 Char"/>
    <w:basedOn w:val="16"/>
    <w:link w:val="8"/>
    <w:qFormat/>
    <w:uiPriority w:val="0"/>
    <w:rPr>
      <w:kern w:val="2"/>
      <w:sz w:val="21"/>
    </w:rPr>
  </w:style>
  <w:style w:type="paragraph" w:customStyle="1" w:styleId="24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25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6"/>
    <w:link w:val="7"/>
    <w:semiHidden/>
    <w:qFormat/>
    <w:uiPriority w:val="99"/>
    <w:rPr>
      <w:kern w:val="2"/>
      <w:sz w:val="21"/>
    </w:rPr>
  </w:style>
  <w:style w:type="character" w:customStyle="1" w:styleId="27">
    <w:name w:val="批注主题 Char"/>
    <w:basedOn w:val="26"/>
    <w:link w:val="13"/>
    <w:semiHidden/>
    <w:qFormat/>
    <w:uiPriority w:val="99"/>
    <w:rPr>
      <w:b/>
      <w:bCs/>
    </w:rPr>
  </w:style>
  <w:style w:type="paragraph" w:customStyle="1" w:styleId="28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  <w:style w:type="paragraph" w:customStyle="1" w:styleId="29">
    <w:name w:val="1正文（chuan）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30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1381</Words>
  <Characters>1535</Characters>
  <Lines>10</Lines>
  <Paragraphs>2</Paragraphs>
  <TotalTime>7</TotalTime>
  <ScaleCrop>false</ScaleCrop>
  <LinksUpToDate>false</LinksUpToDate>
  <CharactersWithSpaces>1747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2021-05-14T08:42:00Z</dcterms:created>
  <dc:creator>User</dc:creator>
  <cp:lastModifiedBy>NTKO</cp:lastModifiedBy>
  <cp:lastPrinted>2023-06-05T02:56:16Z</cp:lastPrinted>
  <dcterms:modified xsi:type="dcterms:W3CDTF">2023-06-05T02:56:21Z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32AEF2EEF40B44728337ADAFA63838FA_13</vt:lpwstr>
  </property>
</Properties>
</file>