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firstLine="420" w:firstLineChars="200"/>
        <w:rPr>
          <w:rFonts w:hint="eastAsia" w:ascii="Times New Roman" w:hAnsi="Times New Roman" w:cs="Times New Roman" w:eastAsiaTheme="minorEastAsia"/>
          <w:color w:val="auto"/>
          <w:kern w:val="0"/>
          <w:szCs w:val="21"/>
          <w:lang w:val="en-US" w:eastAsia="zh-CN"/>
        </w:rPr>
      </w:pPr>
      <w:bookmarkStart w:id="1" w:name="_GoBack"/>
      <w:bookmarkEnd w:id="1"/>
    </w:p>
    <w:tbl>
      <w:tblPr>
        <w:tblStyle w:val="18"/>
        <w:tblW w:w="907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1" w:hRule="atLeast"/>
        </w:trPr>
        <w:tc>
          <w:tcPr>
            <w:tcW w:w="9075" w:type="dxa"/>
          </w:tcPr>
          <w:p>
            <w:pPr>
              <w:spacing w:line="340" w:lineRule="exact"/>
              <w:rPr>
                <w:rFonts w:hint="eastAsia" w:ascii="Times New Roman" w:hAnsi="Times New Roman" w:eastAsia="宋体" w:cs="Times New Roman"/>
                <w:color w:val="auto"/>
                <w:lang w:val="en-US" w:eastAsia="zh-CN"/>
              </w:rPr>
            </w:pPr>
            <w:r>
              <w:rPr>
                <w:rFonts w:hint="eastAsia" w:ascii="Times New Roman" w:hAnsi="Times New Roman" w:cs="Times New Roman" w:eastAsiaTheme="minorEastAsia"/>
                <w:color w:val="auto"/>
                <w:kern w:val="0"/>
                <w:szCs w:val="21"/>
                <w:lang w:val="en-US" w:eastAsia="zh-CN"/>
              </w:rPr>
              <w:t>生</w:t>
            </w:r>
            <w:r>
              <w:rPr>
                <w:rFonts w:hint="eastAsia" w:ascii="Times New Roman" w:hAnsi="Times New Roman" w:eastAsia="宋体" w:cs="Times New Roman"/>
                <w:color w:val="auto"/>
                <w:lang w:val="en-US" w:eastAsia="zh-CN"/>
              </w:rPr>
              <w:t>态环境行政主管部门审批意见：</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w:t>
            </w:r>
            <w:r>
              <w:rPr>
                <w:rFonts w:hint="eastAsia" w:cs="Times New Roman"/>
                <w:color w:val="auto"/>
                <w:lang w:val="en-US" w:eastAsia="zh-CN"/>
              </w:rPr>
              <w:t xml:space="preserve">     </w:t>
            </w:r>
            <w:r>
              <w:rPr>
                <w:rFonts w:hint="eastAsia" w:ascii="Times New Roman" w:hAnsi="Times New Roman" w:eastAsia="宋体" w:cs="Times New Roman"/>
                <w:color w:val="auto"/>
                <w:lang w:val="en-US" w:eastAsia="zh-CN"/>
              </w:rPr>
              <w:t>榕台环评〔2024〕</w:t>
            </w:r>
            <w:r>
              <w:rPr>
                <w:rFonts w:hint="eastAsia" w:cs="Times New Roman"/>
                <w:color w:val="auto"/>
                <w:lang w:val="en-US" w:eastAsia="zh-CN"/>
              </w:rPr>
              <w:t>2</w:t>
            </w:r>
            <w:r>
              <w:rPr>
                <w:rFonts w:hint="eastAsia" w:ascii="Times New Roman" w:hAnsi="Times New Roman" w:eastAsia="宋体" w:cs="Times New Roman"/>
                <w:color w:val="auto"/>
                <w:lang w:val="en-US" w:eastAsia="zh-CN"/>
              </w:rPr>
              <w:t>号</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cs="Times New Roman"/>
                <w:color w:val="auto"/>
                <w:szCs w:val="21"/>
                <w:lang w:val="en-US" w:eastAsia="zh-CN"/>
              </w:rPr>
              <w:t>福州市台江区</w:t>
            </w:r>
            <w:r>
              <w:rPr>
                <w:rFonts w:hint="eastAsia" w:cs="Times New Roman"/>
                <w:color w:val="auto"/>
                <w:szCs w:val="21"/>
                <w:lang w:val="en-US" w:eastAsia="zh-CN"/>
              </w:rPr>
              <w:t>卫生健康局</w:t>
            </w:r>
            <w:r>
              <w:rPr>
                <w:rFonts w:hint="eastAsia" w:ascii="Times New Roman" w:hAnsi="Times New Roman" w:eastAsia="宋体" w:cs="Times New Roman"/>
                <w:color w:val="auto"/>
                <w:lang w:val="en-US" w:eastAsia="zh-CN"/>
              </w:rPr>
              <w:t>报送的</w:t>
            </w:r>
            <w:r>
              <w:rPr>
                <w:rFonts w:hint="default" w:ascii="Times New Roman" w:hAnsi="Times New Roman" w:eastAsia="宋体" w:cs="Times New Roman"/>
                <w:color w:val="auto"/>
                <w:lang w:val="en-US" w:eastAsia="zh-CN"/>
              </w:rPr>
              <w:t>《</w:t>
            </w:r>
            <w:r>
              <w:rPr>
                <w:rFonts w:hint="eastAsia" w:ascii="Times New Roman" w:hAnsi="Times New Roman" w:cs="Times New Roman"/>
                <w:color w:val="auto"/>
                <w:szCs w:val="21"/>
                <w:lang w:val="en-US" w:eastAsia="zh-CN"/>
              </w:rPr>
              <w:t>福州市台江区</w:t>
            </w:r>
            <w:r>
              <w:rPr>
                <w:rFonts w:hint="eastAsia" w:cs="Times New Roman"/>
                <w:color w:val="auto"/>
                <w:szCs w:val="21"/>
                <w:lang w:val="en-US" w:eastAsia="zh-CN"/>
              </w:rPr>
              <w:t>级医院改</w:t>
            </w:r>
            <w:r>
              <w:rPr>
                <w:rFonts w:hint="eastAsia" w:ascii="Times New Roman" w:hAnsi="Times New Roman" w:cs="Times New Roman"/>
                <w:color w:val="auto"/>
                <w:szCs w:val="21"/>
                <w:lang w:val="en-US" w:eastAsia="zh-CN"/>
              </w:rPr>
              <w:t>建项目</w:t>
            </w:r>
            <w:r>
              <w:rPr>
                <w:rFonts w:hint="eastAsia" w:ascii="Times New Roman" w:hAnsi="Times New Roman" w:eastAsia="宋体" w:cs="Times New Roman"/>
                <w:color w:val="auto"/>
                <w:lang w:val="en-US" w:eastAsia="zh-CN"/>
              </w:rPr>
              <w:t>》（以下简称报告表）及相关申请审批的材料收悉。根据《中华人民共和国环境影响评价法》第22条等规定，现提出审批意见如下：</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w:t>
            </w:r>
            <w:r>
              <w:rPr>
                <w:rFonts w:hint="default" w:ascii="Times New Roman" w:hAnsi="Times New Roman" w:eastAsia="宋体" w:cs="Times New Roman"/>
                <w:color w:val="auto"/>
                <w:lang w:val="en-US" w:eastAsia="zh-CN"/>
              </w:rPr>
              <w:t>根据《报告表》评价结论：</w:t>
            </w:r>
            <w:r>
              <w:rPr>
                <w:rFonts w:hint="eastAsia" w:ascii="Times New Roman" w:hAnsi="Times New Roman" w:eastAsia="宋体" w:cs="Times New Roman"/>
                <w:color w:val="auto"/>
                <w:lang w:val="en-US" w:eastAsia="zh-CN"/>
              </w:rPr>
              <w:t>同意</w:t>
            </w:r>
            <w:r>
              <w:rPr>
                <w:rFonts w:hint="eastAsia" w:ascii="Times New Roman" w:hAnsi="Times New Roman" w:cs="Times New Roman"/>
                <w:color w:val="auto"/>
                <w:szCs w:val="21"/>
                <w:lang w:val="en-US" w:eastAsia="zh-CN"/>
              </w:rPr>
              <w:t>福州市台江区</w:t>
            </w:r>
            <w:r>
              <w:rPr>
                <w:rFonts w:hint="eastAsia" w:cs="Times New Roman"/>
                <w:color w:val="auto"/>
                <w:szCs w:val="21"/>
                <w:lang w:val="en-US" w:eastAsia="zh-CN"/>
              </w:rPr>
              <w:t>级医院改</w:t>
            </w:r>
            <w:r>
              <w:rPr>
                <w:rFonts w:hint="eastAsia" w:ascii="Times New Roman" w:hAnsi="Times New Roman" w:cs="Times New Roman"/>
                <w:color w:val="auto"/>
                <w:szCs w:val="21"/>
                <w:lang w:val="en-US" w:eastAsia="zh-CN"/>
              </w:rPr>
              <w:t>建</w:t>
            </w:r>
            <w:r>
              <w:rPr>
                <w:rFonts w:hint="eastAsia" w:ascii="Times New Roman" w:hAnsi="Times New Roman" w:cs="Times New Roman" w:eastAsiaTheme="minorEastAsia"/>
                <w:color w:val="auto"/>
                <w:kern w:val="0"/>
                <w:sz w:val="21"/>
                <w:szCs w:val="21"/>
                <w:lang w:val="en-US" w:eastAsia="zh-CN" w:bidi="ar-SA"/>
              </w:rPr>
              <w:t>项目位于福建省福州市台江区群众路95号，总投资14998.88万元</w:t>
            </w:r>
            <w:r>
              <w:rPr>
                <w:rFonts w:hint="eastAsia" w:cs="Times New Roman" w:eastAsiaTheme="minorEastAsia"/>
                <w:color w:val="auto"/>
                <w:kern w:val="0"/>
                <w:sz w:val="21"/>
                <w:szCs w:val="21"/>
                <w:lang w:val="en-US" w:eastAsia="zh-CN" w:bidi="ar-SA"/>
              </w:rPr>
              <w:t>，</w:t>
            </w:r>
            <w:r>
              <w:rPr>
                <w:rFonts w:hint="eastAsia" w:ascii="Times New Roman" w:hAnsi="Times New Roman" w:cs="Times New Roman" w:eastAsiaTheme="minorEastAsia"/>
                <w:color w:val="auto"/>
                <w:kern w:val="0"/>
                <w:sz w:val="21"/>
                <w:szCs w:val="21"/>
                <w:lang w:val="en-US" w:eastAsia="zh-CN" w:bidi="ar-SA"/>
              </w:rPr>
              <w:t>占地面积5136.2</w:t>
            </w:r>
            <w:r>
              <w:rPr>
                <w:rFonts w:hint="default" w:ascii="Arial" w:hAnsi="Arial" w:cs="Arial" w:eastAsiaTheme="minorEastAsia"/>
                <w:color w:val="auto"/>
                <w:kern w:val="0"/>
                <w:sz w:val="21"/>
                <w:szCs w:val="21"/>
                <w:lang w:val="en-US" w:eastAsia="zh-CN" w:bidi="ar-SA"/>
              </w:rPr>
              <w:t>㎡</w:t>
            </w:r>
            <w:r>
              <w:rPr>
                <w:rFonts w:hint="default" w:ascii="Times New Roman" w:hAnsi="Times New Roman" w:eastAsia="宋体" w:cs="Times New Roman"/>
                <w:color w:val="auto"/>
                <w:lang w:val="en-US" w:eastAsia="zh-CN"/>
              </w:rPr>
              <w:t>。</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w:t>
            </w:r>
            <w:r>
              <w:rPr>
                <w:rFonts w:hint="default" w:ascii="Times New Roman" w:hAnsi="Times New Roman" w:eastAsia="宋体" w:cs="Times New Roman"/>
                <w:color w:val="auto"/>
                <w:lang w:val="en-US" w:eastAsia="zh-CN"/>
              </w:rPr>
              <w:t>项目应落实《报告表》提出的各项污染防治措施，并重点做好以下工作：</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废</w:t>
            </w:r>
            <w:r>
              <w:rPr>
                <w:rFonts w:hint="eastAsia" w:ascii="Times New Roman" w:hAnsi="Times New Roman" w:eastAsia="宋体" w:cs="Times New Roman"/>
                <w:color w:val="auto"/>
                <w:lang w:val="en-US" w:eastAsia="zh-CN"/>
              </w:rPr>
              <w:t>水</w:t>
            </w:r>
          </w:p>
          <w:p>
            <w:pPr>
              <w:spacing w:line="340" w:lineRule="exact"/>
              <w:ind w:firstLine="420" w:firstLineChars="200"/>
              <w:rPr>
                <w:rFonts w:hint="eastAsia" w:eastAsia="宋体" w:cs="Times New Roman"/>
                <w:color w:val="auto"/>
                <w:szCs w:val="21"/>
                <w:lang w:val="en-US" w:eastAsia="zh-CN"/>
              </w:rPr>
            </w:pPr>
            <w:r>
              <w:rPr>
                <w:rFonts w:hint="eastAsia" w:eastAsia="宋体" w:cs="Times New Roman"/>
                <w:color w:val="auto"/>
                <w:szCs w:val="21"/>
                <w:lang w:val="en-US" w:eastAsia="zh-CN"/>
              </w:rPr>
              <w:t>项目废水主要来自门诊废水、病房废水（包括后勤人员生活污水等）、院区各楼层地面冲洗废水、检验废水、食堂废水等。检验废水单独收集，作为医疗废物暂存在废物暂存间，后续委托有资质单位处置。项目食堂废水经院区内隔油池处理后、发热肠道门诊废水经次氯酸钠消毒后，同其余外排废水一起经化粪池处理后纳入医院配套污水处理站，经预处理达</w:t>
            </w:r>
            <w:bookmarkStart w:id="0" w:name="_Hlk167303405"/>
            <w:r>
              <w:rPr>
                <w:rFonts w:hint="eastAsia" w:eastAsia="宋体" w:cs="Times New Roman"/>
                <w:color w:val="auto"/>
                <w:szCs w:val="21"/>
                <w:lang w:val="en-US" w:eastAsia="zh-CN"/>
              </w:rPr>
              <w:t>《医疗机构水污染物排放标准》（GB18466-2005）中表2</w:t>
            </w:r>
            <w:bookmarkEnd w:id="0"/>
            <w:r>
              <w:rPr>
                <w:rFonts w:hint="eastAsia" w:eastAsia="宋体" w:cs="Times New Roman"/>
                <w:color w:val="auto"/>
                <w:szCs w:val="21"/>
                <w:lang w:val="en-US" w:eastAsia="zh-CN"/>
              </w:rPr>
              <w:t>综合医疗机构和其他医疗机构水污染物预处理标准（氨氮参考《污水排入城镇下水道水质标准》（GB/T31962-2015）中B等级的最高允许值的排放要求）后，接入市政污水管网，最终纳入洋里污水处理厂进行集中处理。</w:t>
            </w:r>
          </w:p>
          <w:p>
            <w:pPr>
              <w:spacing w:line="340" w:lineRule="exact"/>
              <w:ind w:firstLine="420" w:firstLineChars="200"/>
              <w:rPr>
                <w:rFonts w:hint="eastAsia" w:eastAsia="宋体" w:cs="Times New Roman"/>
                <w:color w:val="auto"/>
                <w:szCs w:val="21"/>
                <w:lang w:val="en-US" w:eastAsia="zh-CN"/>
              </w:rPr>
            </w:pPr>
            <w:r>
              <w:rPr>
                <w:rFonts w:hint="default" w:eastAsia="宋体" w:cs="Times New Roman"/>
                <w:color w:val="auto"/>
                <w:szCs w:val="21"/>
                <w:lang w:val="en-US" w:eastAsia="zh-CN"/>
              </w:rPr>
              <w:t>（</w:t>
            </w:r>
            <w:r>
              <w:rPr>
                <w:rFonts w:hint="eastAsia" w:eastAsia="宋体" w:cs="Times New Roman"/>
                <w:color w:val="auto"/>
                <w:szCs w:val="21"/>
                <w:lang w:val="en-US" w:eastAsia="zh-CN"/>
              </w:rPr>
              <w:t>2</w:t>
            </w:r>
            <w:r>
              <w:rPr>
                <w:rFonts w:hint="default" w:eastAsia="宋体" w:cs="Times New Roman"/>
                <w:color w:val="auto"/>
                <w:szCs w:val="21"/>
                <w:lang w:val="en-US" w:eastAsia="zh-CN"/>
              </w:rPr>
              <w:t>）</w:t>
            </w:r>
            <w:r>
              <w:rPr>
                <w:rFonts w:hint="eastAsia" w:eastAsia="宋体" w:cs="Times New Roman"/>
                <w:color w:val="auto"/>
                <w:szCs w:val="21"/>
                <w:lang w:val="en-US" w:eastAsia="zh-CN"/>
              </w:rPr>
              <w:t>废气</w:t>
            </w:r>
          </w:p>
          <w:p>
            <w:pPr>
              <w:spacing w:line="340" w:lineRule="exact"/>
              <w:ind w:firstLine="420" w:firstLineChars="200"/>
              <w:rPr>
                <w:rFonts w:hint="eastAsia" w:eastAsia="宋体" w:cs="Times New Roman"/>
                <w:color w:val="auto"/>
                <w:szCs w:val="21"/>
                <w:lang w:val="en-US" w:eastAsia="zh-CN"/>
              </w:rPr>
            </w:pPr>
            <w:r>
              <w:rPr>
                <w:rFonts w:hint="eastAsia" w:eastAsia="宋体" w:cs="Times New Roman"/>
                <w:color w:val="auto"/>
                <w:szCs w:val="21"/>
                <w:lang w:val="en-US" w:eastAsia="zh-CN"/>
              </w:rPr>
              <w:t>柴油发电机组使用的机率很小，发电机房密闭，工作时产生的废气通过机械排风经43m高排烟烟囱引至业务楼屋顶排放（DA002），各污染物符合《大气污染物综合排放标准》（GB16297-1996）表2二级标准；食堂废气采取油烟净化器治理食堂油烟废气</w:t>
            </w:r>
            <w:r>
              <w:rPr>
                <w:rFonts w:hint="eastAsia" w:cs="Times New Roman"/>
                <w:color w:val="auto"/>
                <w:szCs w:val="21"/>
                <w:lang w:val="en-US" w:eastAsia="zh-CN"/>
              </w:rPr>
              <w:t>，</w:t>
            </w:r>
            <w:r>
              <w:rPr>
                <w:rFonts w:hint="eastAsia"/>
                <w:color w:val="auto"/>
                <w:lang w:val="en-US" w:eastAsia="zh-CN"/>
              </w:rPr>
              <w:t>经油烟净化器处理后排放指标能满足《饮食业油烟排放标准（试行）》（GB18483-2001）表2中的“小型”标准要求（最高允许排放浓度2mg/m3）</w:t>
            </w:r>
            <w:r>
              <w:rPr>
                <w:rFonts w:hint="eastAsia" w:eastAsia="宋体" w:cs="Times New Roman"/>
                <w:color w:val="auto"/>
                <w:szCs w:val="21"/>
                <w:lang w:val="en-US" w:eastAsia="zh-CN"/>
              </w:rPr>
              <w:t>；</w:t>
            </w:r>
            <w:r>
              <w:rPr>
                <w:rFonts w:hint="eastAsia" w:ascii="Times New Roman" w:hAnsi="Times New Roman" w:cs="Times New Roman"/>
                <w:color w:val="auto"/>
                <w:lang w:val="en-US" w:eastAsia="zh-CN"/>
              </w:rPr>
              <w:t>项目检验过程涉及使用挥发性试剂和病原微生物的操作均在带自净功能的生物安全柜内进行</w:t>
            </w:r>
            <w:r>
              <w:rPr>
                <w:rFonts w:hint="eastAsia" w:cs="Times New Roman"/>
                <w:color w:val="auto"/>
                <w:lang w:val="en-US" w:eastAsia="zh-CN"/>
              </w:rPr>
              <w:t>，</w:t>
            </w:r>
            <w:r>
              <w:rPr>
                <w:rFonts w:hint="eastAsia" w:ascii="Times New Roman" w:hAnsi="Times New Roman" w:cs="Times New Roman"/>
                <w:color w:val="auto"/>
                <w:lang w:val="en-US" w:eastAsia="zh-CN"/>
              </w:rPr>
              <w:t>同时，PCR区域配套全空气系统，使废气能够得到良好的扩散，减轻对操作环境和周围环境的影响</w:t>
            </w:r>
            <w:r>
              <w:rPr>
                <w:rFonts w:hint="eastAsia"/>
                <w:color w:val="auto"/>
                <w:lang w:eastAsia="zh-CN"/>
              </w:rPr>
              <w:t>；</w:t>
            </w:r>
            <w:r>
              <w:rPr>
                <w:rFonts w:hint="eastAsia" w:eastAsia="宋体" w:cs="Times New Roman"/>
                <w:color w:val="auto"/>
                <w:szCs w:val="21"/>
                <w:lang w:val="en-US" w:eastAsia="zh-CN"/>
              </w:rPr>
              <w:t>污水处理站采用地埋式，设施上方及周边进行植物绿化，设施池体加盖板密闭。</w:t>
            </w:r>
            <w:r>
              <w:rPr>
                <w:rFonts w:hint="eastAsia"/>
                <w:color w:val="auto"/>
                <w:lang w:val="en-US" w:eastAsia="zh-CN"/>
              </w:rPr>
              <w:t>污水处理设施产生的废气量很少，经收集后由一体化生物滤池处理后排放指标能满足《恶臭污染物排放标准》（GB14554-93）表2标准限值，</w:t>
            </w:r>
            <w:r>
              <w:rPr>
                <w:rFonts w:hint="eastAsia" w:eastAsia="宋体" w:cs="Times New Roman"/>
                <w:color w:val="auto"/>
                <w:szCs w:val="21"/>
                <w:lang w:val="en-US" w:eastAsia="zh-CN"/>
              </w:rPr>
              <w:t>处理后引至行政楼屋顶排放</w:t>
            </w:r>
            <w:r>
              <w:rPr>
                <w:rFonts w:hint="eastAsia"/>
                <w:color w:val="auto"/>
                <w:lang w:val="en-US" w:eastAsia="zh-CN"/>
              </w:rPr>
              <w:t>。</w:t>
            </w:r>
            <w:r>
              <w:rPr>
                <w:rFonts w:hint="eastAsia" w:eastAsia="宋体" w:cs="Times New Roman"/>
                <w:color w:val="auto"/>
                <w:szCs w:val="21"/>
                <w:lang w:val="en-US" w:eastAsia="zh-CN"/>
              </w:rPr>
              <w:t>通过以上措施处理后，项目污水站恶臭废气对周围小区居民的影响很小。</w:t>
            </w:r>
          </w:p>
          <w:p>
            <w:pPr>
              <w:spacing w:line="340" w:lineRule="exact"/>
              <w:ind w:firstLine="420" w:firstLineChars="200"/>
              <w:rPr>
                <w:rFonts w:hint="default" w:eastAsia="宋体" w:cs="Times New Roman"/>
                <w:color w:val="auto"/>
                <w:szCs w:val="21"/>
                <w:lang w:val="en-US" w:eastAsia="zh-CN"/>
              </w:rPr>
            </w:pPr>
            <w:r>
              <w:rPr>
                <w:rFonts w:hint="eastAsia" w:eastAsia="宋体" w:cs="Times New Roman"/>
                <w:color w:val="auto"/>
                <w:szCs w:val="21"/>
                <w:lang w:val="en-US" w:eastAsia="zh-CN"/>
              </w:rPr>
              <w:t>（3）</w:t>
            </w:r>
            <w:r>
              <w:rPr>
                <w:rFonts w:hint="default" w:eastAsia="宋体" w:cs="Times New Roman"/>
                <w:color w:val="auto"/>
                <w:szCs w:val="21"/>
                <w:lang w:val="en-US" w:eastAsia="zh-CN"/>
              </w:rPr>
              <w:t>噪声</w:t>
            </w:r>
          </w:p>
          <w:p>
            <w:pPr>
              <w:spacing w:line="340" w:lineRule="exact"/>
              <w:ind w:firstLine="420" w:firstLineChars="200"/>
              <w:rPr>
                <w:rFonts w:hint="eastAsia" w:eastAsia="宋体" w:cs="Times New Roman"/>
                <w:color w:val="auto"/>
                <w:szCs w:val="21"/>
                <w:lang w:val="en-US" w:eastAsia="zh-CN"/>
              </w:rPr>
            </w:pPr>
            <w:r>
              <w:rPr>
                <w:rFonts w:hint="eastAsia" w:eastAsia="宋体" w:cs="Times New Roman"/>
                <w:color w:val="auto"/>
                <w:szCs w:val="21"/>
                <w:lang w:val="en-US" w:eastAsia="zh-CN"/>
              </w:rPr>
              <w:t>本项目噪声源主要来自设备噪声、交通噪声和社会噪声。柴油发电机布置在专用的发电机房内，并采取有效的隔声、减震、降噪措施；项目污水处理工程用低噪声设备，并采用消声、隔振、吸音等综合噪声治理措施；</w:t>
            </w:r>
            <w:r>
              <w:rPr>
                <w:rFonts w:hint="eastAsia"/>
                <w:color w:val="auto"/>
                <w:lang w:val="en-US" w:eastAsia="zh-CN"/>
              </w:rPr>
              <w:t>停车场的汽车噪声主要为汽车行驶和鸣笛时产生，通过加强车辆管理，禁止在院内鸣笛，</w:t>
            </w:r>
            <w:r>
              <w:rPr>
                <w:rFonts w:hint="eastAsia" w:eastAsia="宋体" w:cs="Times New Roman"/>
                <w:color w:val="auto"/>
                <w:szCs w:val="21"/>
                <w:lang w:val="en-US" w:eastAsia="zh-CN"/>
              </w:rPr>
              <w:t>在绿化带种植能吸声降噪的树种，以降低交通噪声及生产噪声对道路沿线的影响。</w:t>
            </w:r>
            <w:r>
              <w:rPr>
                <w:color w:val="auto"/>
              </w:rPr>
              <w:t>北侧场界执行《工业企业厂界环境噪声排放标准》（GB12348-2008）4a类标准（昼间70dB，夜间55dB）；其余场界执行2类标准（昼间60dB，夜间50dB）</w:t>
            </w:r>
            <w:r>
              <w:rPr>
                <w:rFonts w:hint="eastAsia"/>
                <w:color w:val="auto"/>
                <w:lang w:eastAsia="zh-CN"/>
              </w:rPr>
              <w:t>。</w:t>
            </w:r>
          </w:p>
          <w:p>
            <w:pPr>
              <w:spacing w:line="340" w:lineRule="exact"/>
              <w:ind w:firstLine="420" w:firstLineChars="200"/>
              <w:rPr>
                <w:rFonts w:hint="default" w:eastAsia="宋体" w:cs="Times New Roman"/>
                <w:color w:val="auto"/>
                <w:szCs w:val="21"/>
                <w:lang w:val="en-US" w:eastAsia="zh-CN"/>
              </w:rPr>
            </w:pPr>
            <w:r>
              <w:rPr>
                <w:rFonts w:hint="eastAsia" w:eastAsia="宋体" w:cs="Times New Roman"/>
                <w:color w:val="auto"/>
                <w:szCs w:val="21"/>
                <w:lang w:val="en-US" w:eastAsia="zh-CN"/>
              </w:rPr>
              <w:t>（4）</w:t>
            </w:r>
            <w:r>
              <w:rPr>
                <w:rFonts w:hint="default" w:eastAsia="宋体" w:cs="Times New Roman"/>
                <w:color w:val="auto"/>
                <w:szCs w:val="21"/>
                <w:lang w:val="en-US" w:eastAsia="zh-CN"/>
              </w:rPr>
              <w:t>固废</w:t>
            </w:r>
          </w:p>
          <w:p>
            <w:pPr>
              <w:spacing w:line="340" w:lineRule="exact"/>
              <w:ind w:firstLine="420" w:firstLineChars="200"/>
              <w:rPr>
                <w:rFonts w:hint="eastAsia"/>
                <w:color w:val="auto"/>
                <w:lang w:val="en-US" w:eastAsia="zh-CN"/>
              </w:rPr>
            </w:pPr>
            <w:r>
              <w:rPr>
                <w:rFonts w:hint="eastAsia"/>
                <w:color w:val="auto"/>
                <w:lang w:val="en-US" w:eastAsia="zh-CN"/>
              </w:rPr>
              <w:t>本项目院区医疗废物（含检验科废液）分类收集，送至位于院区场地东南侧的废物暂存间暂存，并委托有资质单位转运处置；废水处理产生的污泥按照《医院污水处理工程技术规范》（HJ2029-2013）中要求杀毒灭菌：可加入生石灰进行消毒，达到《医疗机构水污染物排放标准》（GB18466-2005）污泥控制标准后交由有资质单位处置；废紫外线灯管</w:t>
            </w:r>
            <w:r>
              <w:rPr>
                <w:rFonts w:hint="eastAsia"/>
                <w:color w:val="auto"/>
              </w:rPr>
              <w:t>更换前应提前联系有资质单位，更换放入专用塑料桶内，交由有资质单位立即转运处置</w:t>
            </w:r>
            <w:r>
              <w:rPr>
                <w:rFonts w:hint="eastAsia"/>
                <w:color w:val="auto"/>
                <w:lang w:val="en-US" w:eastAsia="zh-CN"/>
              </w:rPr>
              <w:t>；项目生活垃圾在院区垃圾房收集后交由环卫部门负责统一清运。</w:t>
            </w:r>
          </w:p>
          <w:p>
            <w:pPr>
              <w:spacing w:line="340" w:lineRule="exact"/>
              <w:ind w:firstLine="420" w:firstLineChars="200"/>
              <w:rPr>
                <w:rFonts w:hint="eastAsia" w:eastAsia="宋体" w:cs="Times New Roman"/>
                <w:color w:val="auto"/>
                <w:szCs w:val="21"/>
                <w:lang w:val="en-US" w:eastAsia="zh-CN"/>
              </w:rPr>
            </w:pPr>
            <w:r>
              <w:rPr>
                <w:rFonts w:hint="eastAsia" w:eastAsia="宋体" w:cs="Times New Roman"/>
                <w:color w:val="auto"/>
                <w:szCs w:val="21"/>
                <w:lang w:val="en-US" w:eastAsia="zh-CN"/>
              </w:rPr>
              <w:t>（5）土壤及地下水</w:t>
            </w:r>
          </w:p>
          <w:p>
            <w:pPr>
              <w:spacing w:line="340" w:lineRule="exact"/>
              <w:ind w:firstLine="420" w:firstLineChars="200"/>
              <w:rPr>
                <w:rFonts w:hint="default" w:eastAsia="宋体" w:cs="Times New Roman"/>
                <w:color w:val="auto"/>
                <w:szCs w:val="21"/>
                <w:lang w:val="en-US" w:eastAsia="zh-CN"/>
              </w:rPr>
            </w:pPr>
            <w:r>
              <w:rPr>
                <w:rFonts w:hint="eastAsia" w:eastAsia="宋体" w:cs="Times New Roman"/>
                <w:color w:val="auto"/>
                <w:szCs w:val="21"/>
                <w:lang w:val="en-US" w:eastAsia="zh-CN"/>
              </w:rPr>
              <w:t xml:space="preserve">    加强对废气、废水处理设施的维护和保养，设置专人管理；院区内增加具有较强吸附能力的绿化植被；加强日常环境管理，管网维护、日常巡查、对易腐蚀的管网及附属设施等采取防腐蚀措施，严格控制设备和管道的跑、冒、滴、漏现象；加强分区防渗。</w:t>
            </w:r>
          </w:p>
          <w:p>
            <w:pPr>
              <w:spacing w:line="340" w:lineRule="exact"/>
              <w:ind w:firstLine="420" w:firstLineChars="200"/>
              <w:rPr>
                <w:rFonts w:hint="eastAsia" w:eastAsia="宋体" w:cs="Times New Roman"/>
                <w:color w:val="auto"/>
                <w:szCs w:val="21"/>
                <w:lang w:val="en-US" w:eastAsia="zh-CN"/>
              </w:rPr>
            </w:pPr>
            <w:r>
              <w:rPr>
                <w:rFonts w:hint="eastAsia" w:eastAsia="宋体" w:cs="Times New Roman"/>
                <w:color w:val="auto"/>
                <w:szCs w:val="21"/>
                <w:lang w:val="en-US" w:eastAsia="zh-CN"/>
              </w:rPr>
              <w:t>三、</w:t>
            </w:r>
            <w:r>
              <w:rPr>
                <w:rFonts w:hint="default" w:eastAsia="宋体" w:cs="Times New Roman"/>
                <w:color w:val="auto"/>
                <w:szCs w:val="21"/>
                <w:lang w:val="en-US" w:eastAsia="zh-CN"/>
              </w:rPr>
              <w:t>建设单位</w:t>
            </w:r>
            <w:r>
              <w:rPr>
                <w:rFonts w:hint="eastAsia" w:eastAsia="宋体" w:cs="Times New Roman"/>
                <w:color w:val="auto"/>
                <w:szCs w:val="21"/>
                <w:lang w:val="en-US" w:eastAsia="zh-CN"/>
              </w:rPr>
              <w:t>应</w:t>
            </w:r>
            <w:r>
              <w:rPr>
                <w:rFonts w:hint="default" w:eastAsia="宋体" w:cs="Times New Roman"/>
                <w:color w:val="auto"/>
                <w:szCs w:val="21"/>
                <w:lang w:val="en-US" w:eastAsia="zh-CN"/>
              </w:rPr>
              <w:t>严格落实环保“三同时”制度，认真落实报告表提出的各项环保对策措施，加强环境管理与监测，从环境保护角度分析，项目的建设是可行的。</w:t>
            </w:r>
            <w:r>
              <w:rPr>
                <w:rFonts w:hint="eastAsia" w:eastAsia="宋体" w:cs="Times New Roman"/>
                <w:color w:val="auto"/>
                <w:szCs w:val="21"/>
                <w:lang w:val="en-US" w:eastAsia="zh-CN"/>
              </w:rPr>
              <w:t xml:space="preserve">我局委托福州市台江生态环境保护综合执法大队开展项目环保“三同时”监督监察和竣工环保验收后的日常环保监督管理工作。    </w:t>
            </w:r>
          </w:p>
          <w:p>
            <w:pPr>
              <w:spacing w:line="340" w:lineRule="exact"/>
              <w:ind w:firstLine="420" w:firstLineChars="200"/>
              <w:rPr>
                <w:rFonts w:hint="eastAsia" w:eastAsia="宋体" w:cs="Times New Roman"/>
                <w:color w:val="auto"/>
                <w:szCs w:val="21"/>
                <w:lang w:val="en-US" w:eastAsia="zh-CN"/>
              </w:rPr>
            </w:pPr>
            <w:r>
              <w:rPr>
                <w:rFonts w:hint="default" w:eastAsia="宋体" w:cs="Times New Roman"/>
                <w:color w:val="auto"/>
                <w:szCs w:val="21"/>
                <w:lang w:val="en-US" w:eastAsia="zh-CN"/>
              </w:rPr>
              <w:t xml:space="preserve">经办人: </w:t>
            </w:r>
            <w:r>
              <w:rPr>
                <w:rFonts w:hint="eastAsia" w:eastAsia="宋体" w:cs="Times New Roman"/>
                <w:color w:val="auto"/>
                <w:szCs w:val="21"/>
                <w:lang w:val="en-US" w:eastAsia="zh-CN"/>
              </w:rPr>
              <w:t xml:space="preserve">                                                       </w:t>
            </w:r>
          </w:p>
          <w:p>
            <w:pPr>
              <w:spacing w:line="340" w:lineRule="exact"/>
              <w:ind w:firstLine="420" w:firstLineChars="200"/>
              <w:rPr>
                <w:rFonts w:hint="eastAsia" w:eastAsia="宋体" w:cs="Times New Roman"/>
                <w:color w:val="auto"/>
                <w:szCs w:val="21"/>
                <w:lang w:val="en-US" w:eastAsia="zh-CN"/>
              </w:rPr>
            </w:pPr>
            <w:r>
              <w:rPr>
                <w:rFonts w:hint="eastAsia" w:eastAsia="宋体" w:cs="Times New Roman"/>
                <w:color w:val="auto"/>
                <w:szCs w:val="21"/>
                <w:lang w:val="en-US" w:eastAsia="zh-CN"/>
              </w:rPr>
              <w:t xml:space="preserve">       </w:t>
            </w:r>
          </w:p>
          <w:p>
            <w:pPr>
              <w:spacing w:line="340" w:lineRule="exact"/>
              <w:ind w:firstLine="420" w:firstLineChars="200"/>
              <w:rPr>
                <w:rFonts w:hint="eastAsia" w:eastAsia="宋体" w:cs="Times New Roman"/>
                <w:color w:val="auto"/>
                <w:szCs w:val="21"/>
                <w:lang w:val="en-US" w:eastAsia="zh-CN"/>
              </w:rPr>
            </w:pPr>
            <w:r>
              <w:rPr>
                <w:rFonts w:hint="eastAsia" w:eastAsia="宋体" w:cs="Times New Roman"/>
                <w:color w:val="auto"/>
                <w:szCs w:val="21"/>
                <w:lang w:val="en-US" w:eastAsia="zh-CN"/>
              </w:rPr>
              <w:t xml:space="preserve">                                                            福州市生态环境局</w:t>
            </w:r>
          </w:p>
          <w:p>
            <w:pPr>
              <w:spacing w:line="340" w:lineRule="exact"/>
              <w:ind w:firstLine="420" w:firstLineChars="200"/>
              <w:rPr>
                <w:rFonts w:hint="eastAsia" w:ascii="Times New Roman" w:hAnsi="Times New Roman" w:cs="Times New Roman" w:eastAsiaTheme="minorEastAsia"/>
                <w:color w:val="auto"/>
                <w:kern w:val="0"/>
                <w:szCs w:val="21"/>
                <w:lang w:val="en-US" w:eastAsia="zh-CN"/>
              </w:rPr>
            </w:pPr>
            <w:r>
              <w:rPr>
                <w:rFonts w:hint="eastAsia" w:eastAsia="宋体" w:cs="Times New Roman"/>
                <w:color w:val="auto"/>
                <w:szCs w:val="21"/>
                <w:lang w:val="en-US" w:eastAsia="zh-CN"/>
              </w:rPr>
              <w:t xml:space="preserve">                                                            2024年6月12日</w:t>
            </w:r>
          </w:p>
        </w:tc>
      </w:tr>
    </w:tbl>
    <w:p/>
    <w:sectPr>
      <w:pgSz w:w="11906" w:h="16838"/>
      <w:pgMar w:top="567" w:right="1757" w:bottom="56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Y2U0YzUxMTAyYzMwMDE4N2Q2MDVkN2M1ZTZlMWYifQ=="/>
  </w:docVars>
  <w:rsids>
    <w:rsidRoot w:val="002F0253"/>
    <w:rsid w:val="00000F1B"/>
    <w:rsid w:val="00027900"/>
    <w:rsid w:val="00040802"/>
    <w:rsid w:val="00056B19"/>
    <w:rsid w:val="00060B0F"/>
    <w:rsid w:val="000822E5"/>
    <w:rsid w:val="00084B57"/>
    <w:rsid w:val="000A4F9D"/>
    <w:rsid w:val="000E3A05"/>
    <w:rsid w:val="000E6217"/>
    <w:rsid w:val="001116E3"/>
    <w:rsid w:val="00112EEF"/>
    <w:rsid w:val="00116771"/>
    <w:rsid w:val="00127CF7"/>
    <w:rsid w:val="00135638"/>
    <w:rsid w:val="00183C03"/>
    <w:rsid w:val="0018662E"/>
    <w:rsid w:val="001B1F54"/>
    <w:rsid w:val="001E1BB0"/>
    <w:rsid w:val="001F6A01"/>
    <w:rsid w:val="00202671"/>
    <w:rsid w:val="002545A3"/>
    <w:rsid w:val="0028478D"/>
    <w:rsid w:val="00286BBE"/>
    <w:rsid w:val="00287E08"/>
    <w:rsid w:val="002914D1"/>
    <w:rsid w:val="002A4F8A"/>
    <w:rsid w:val="002D279D"/>
    <w:rsid w:val="002E3E43"/>
    <w:rsid w:val="002F0253"/>
    <w:rsid w:val="00307DDD"/>
    <w:rsid w:val="00374D27"/>
    <w:rsid w:val="003B0E8C"/>
    <w:rsid w:val="003B3C8B"/>
    <w:rsid w:val="003E2FAB"/>
    <w:rsid w:val="00404652"/>
    <w:rsid w:val="004350A2"/>
    <w:rsid w:val="00465327"/>
    <w:rsid w:val="00481832"/>
    <w:rsid w:val="00487A0E"/>
    <w:rsid w:val="004C0829"/>
    <w:rsid w:val="004D4956"/>
    <w:rsid w:val="00517E3C"/>
    <w:rsid w:val="005223CA"/>
    <w:rsid w:val="00531CB3"/>
    <w:rsid w:val="005463DC"/>
    <w:rsid w:val="00554353"/>
    <w:rsid w:val="00556226"/>
    <w:rsid w:val="005769C3"/>
    <w:rsid w:val="005A3870"/>
    <w:rsid w:val="005C0066"/>
    <w:rsid w:val="005D451E"/>
    <w:rsid w:val="005E4C3C"/>
    <w:rsid w:val="006454BB"/>
    <w:rsid w:val="00656E24"/>
    <w:rsid w:val="006E4402"/>
    <w:rsid w:val="006F3ED5"/>
    <w:rsid w:val="00704E36"/>
    <w:rsid w:val="00777100"/>
    <w:rsid w:val="00777FBD"/>
    <w:rsid w:val="00783107"/>
    <w:rsid w:val="007912BA"/>
    <w:rsid w:val="007A5317"/>
    <w:rsid w:val="007B22D3"/>
    <w:rsid w:val="007C1411"/>
    <w:rsid w:val="007C1430"/>
    <w:rsid w:val="007C1902"/>
    <w:rsid w:val="007C7A35"/>
    <w:rsid w:val="007F1B5A"/>
    <w:rsid w:val="00816ECF"/>
    <w:rsid w:val="00840AE9"/>
    <w:rsid w:val="00850B33"/>
    <w:rsid w:val="00863B58"/>
    <w:rsid w:val="00894996"/>
    <w:rsid w:val="008C451A"/>
    <w:rsid w:val="008C532C"/>
    <w:rsid w:val="008D022A"/>
    <w:rsid w:val="008E5015"/>
    <w:rsid w:val="008F5B5B"/>
    <w:rsid w:val="0092135D"/>
    <w:rsid w:val="00921439"/>
    <w:rsid w:val="00932133"/>
    <w:rsid w:val="009404DF"/>
    <w:rsid w:val="0094364D"/>
    <w:rsid w:val="009B4650"/>
    <w:rsid w:val="009E1327"/>
    <w:rsid w:val="00A46F9B"/>
    <w:rsid w:val="00A673A7"/>
    <w:rsid w:val="00A72BB6"/>
    <w:rsid w:val="00AD4BB2"/>
    <w:rsid w:val="00AE2824"/>
    <w:rsid w:val="00B3396C"/>
    <w:rsid w:val="00B42CA2"/>
    <w:rsid w:val="00B7188C"/>
    <w:rsid w:val="00BD0546"/>
    <w:rsid w:val="00BE5DF9"/>
    <w:rsid w:val="00C063A1"/>
    <w:rsid w:val="00C2593A"/>
    <w:rsid w:val="00C3174B"/>
    <w:rsid w:val="00C34B7A"/>
    <w:rsid w:val="00C36599"/>
    <w:rsid w:val="00C41158"/>
    <w:rsid w:val="00D26826"/>
    <w:rsid w:val="00D32031"/>
    <w:rsid w:val="00D42EDE"/>
    <w:rsid w:val="00D43C2B"/>
    <w:rsid w:val="00D502EC"/>
    <w:rsid w:val="00D57B9B"/>
    <w:rsid w:val="00D94BA2"/>
    <w:rsid w:val="00DF6E20"/>
    <w:rsid w:val="00E00DF2"/>
    <w:rsid w:val="00E25C4A"/>
    <w:rsid w:val="00E56C8B"/>
    <w:rsid w:val="00E933D0"/>
    <w:rsid w:val="00E969EA"/>
    <w:rsid w:val="00E96D5E"/>
    <w:rsid w:val="00EB3751"/>
    <w:rsid w:val="00EE2A0E"/>
    <w:rsid w:val="00EE7301"/>
    <w:rsid w:val="00F03E62"/>
    <w:rsid w:val="00F70735"/>
    <w:rsid w:val="00F73B0F"/>
    <w:rsid w:val="00FA2BA3"/>
    <w:rsid w:val="00FC3CF3"/>
    <w:rsid w:val="041B3BAA"/>
    <w:rsid w:val="050E4732"/>
    <w:rsid w:val="06631998"/>
    <w:rsid w:val="08F42CA5"/>
    <w:rsid w:val="0AE47146"/>
    <w:rsid w:val="0F131F4D"/>
    <w:rsid w:val="118434AB"/>
    <w:rsid w:val="124F10E5"/>
    <w:rsid w:val="13E73446"/>
    <w:rsid w:val="147F4BBF"/>
    <w:rsid w:val="16104E59"/>
    <w:rsid w:val="18473978"/>
    <w:rsid w:val="1AF91B00"/>
    <w:rsid w:val="1B5D1E74"/>
    <w:rsid w:val="1C486990"/>
    <w:rsid w:val="1DD173D9"/>
    <w:rsid w:val="1F562CD8"/>
    <w:rsid w:val="250B2A77"/>
    <w:rsid w:val="251E1509"/>
    <w:rsid w:val="254A2079"/>
    <w:rsid w:val="27844BB0"/>
    <w:rsid w:val="2A1E075D"/>
    <w:rsid w:val="2A2A7127"/>
    <w:rsid w:val="2B1449BC"/>
    <w:rsid w:val="2C7911D6"/>
    <w:rsid w:val="2F355876"/>
    <w:rsid w:val="2F834982"/>
    <w:rsid w:val="33780CF4"/>
    <w:rsid w:val="35FA6E97"/>
    <w:rsid w:val="36EB6276"/>
    <w:rsid w:val="38EB604F"/>
    <w:rsid w:val="3AA01AB2"/>
    <w:rsid w:val="3BF122DD"/>
    <w:rsid w:val="3FD75D85"/>
    <w:rsid w:val="40D70CC1"/>
    <w:rsid w:val="41BB286D"/>
    <w:rsid w:val="4253255E"/>
    <w:rsid w:val="443A3632"/>
    <w:rsid w:val="468A5DA8"/>
    <w:rsid w:val="46D540D8"/>
    <w:rsid w:val="4A897868"/>
    <w:rsid w:val="4E2E0EA5"/>
    <w:rsid w:val="4E4A7E00"/>
    <w:rsid w:val="559C6BD9"/>
    <w:rsid w:val="574C11EA"/>
    <w:rsid w:val="59D253EF"/>
    <w:rsid w:val="5D7BC0CD"/>
    <w:rsid w:val="5D802B99"/>
    <w:rsid w:val="5FD7A097"/>
    <w:rsid w:val="680A43A3"/>
    <w:rsid w:val="69F83B0B"/>
    <w:rsid w:val="6A0D3843"/>
    <w:rsid w:val="6BBD5B5B"/>
    <w:rsid w:val="6CC877B5"/>
    <w:rsid w:val="705F3DAE"/>
    <w:rsid w:val="71F63242"/>
    <w:rsid w:val="77ECF911"/>
    <w:rsid w:val="79E42C79"/>
    <w:rsid w:val="7A340E15"/>
    <w:rsid w:val="BFE9C84C"/>
    <w:rsid w:val="FFBE50CA"/>
    <w:rsid w:val="FFCF1D37"/>
    <w:rsid w:val="FFF35B04"/>
    <w:rsid w:val="FFFF1F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pacing w:line="360" w:lineRule="auto"/>
      <w:ind w:firstLine="200" w:firstLineChars="200"/>
      <w:jc w:val="center"/>
    </w:pPr>
    <w:rPr>
      <w:sz w:val="24"/>
      <w:szCs w:val="20"/>
    </w:rPr>
  </w:style>
  <w:style w:type="paragraph" w:styleId="3">
    <w:name w:val="Normal Indent"/>
    <w:basedOn w:val="1"/>
    <w:next w:val="1"/>
    <w:qFormat/>
    <w:uiPriority w:val="0"/>
    <w:pPr>
      <w:ind w:firstLine="420"/>
    </w:pPr>
  </w:style>
  <w:style w:type="paragraph" w:styleId="4">
    <w:name w:val="annotation text"/>
    <w:basedOn w:val="1"/>
    <w:link w:val="30"/>
    <w:unhideWhenUsed/>
    <w:qFormat/>
    <w:uiPriority w:val="99"/>
    <w:pPr>
      <w:jc w:val="left"/>
    </w:pPr>
  </w:style>
  <w:style w:type="paragraph" w:styleId="5">
    <w:name w:val="Body Text"/>
    <w:basedOn w:val="1"/>
    <w:next w:val="2"/>
    <w:qFormat/>
    <w:uiPriority w:val="0"/>
    <w:pPr>
      <w:widowControl/>
      <w:snapToGrid w:val="0"/>
      <w:spacing w:before="60" w:after="160" w:line="259" w:lineRule="auto"/>
      <w:ind w:right="113"/>
    </w:pPr>
    <w:rPr>
      <w:kern w:val="0"/>
      <w:sz w:val="18"/>
      <w:szCs w:val="20"/>
    </w:rPr>
  </w:style>
  <w:style w:type="paragraph" w:styleId="6">
    <w:name w:val="Body Text Indent"/>
    <w:basedOn w:val="1"/>
    <w:next w:val="7"/>
    <w:link w:val="27"/>
    <w:qFormat/>
    <w:uiPriority w:val="0"/>
    <w:pPr>
      <w:spacing w:after="120"/>
      <w:ind w:left="420" w:leftChars="200"/>
    </w:pPr>
  </w:style>
  <w:style w:type="paragraph" w:styleId="7">
    <w:name w:val="Body Text First Indent 2"/>
    <w:basedOn w:val="6"/>
    <w:next w:val="8"/>
    <w:unhideWhenUsed/>
    <w:qFormat/>
    <w:uiPriority w:val="99"/>
    <w:pPr>
      <w:spacing w:line="360" w:lineRule="auto"/>
      <w:ind w:left="0" w:leftChars="0" w:firstLine="1044" w:firstLineChars="200"/>
    </w:pPr>
    <w:rPr>
      <w:kern w:val="2"/>
    </w:rPr>
  </w:style>
  <w:style w:type="paragraph" w:customStyle="1" w:styleId="8">
    <w:name w:val="Default"/>
    <w:basedOn w:val="9"/>
    <w:next w:val="10"/>
    <w:qFormat/>
    <w:uiPriority w:val="0"/>
    <w:pPr>
      <w:autoSpaceDE w:val="0"/>
      <w:autoSpaceDN w:val="0"/>
      <w:adjustRightInd w:val="0"/>
    </w:pPr>
    <w:rPr>
      <w:rFonts w:ascii="黑体" w:hAnsi="Calibri" w:eastAsia="黑体" w:cs="黑体"/>
      <w:color w:val="000000"/>
      <w:sz w:val="24"/>
      <w:szCs w:val="24"/>
      <w:lang w:eastAsia="zh-CN"/>
    </w:rPr>
  </w:style>
  <w:style w:type="paragraph" w:customStyle="1" w:styleId="9">
    <w:name w:val="纯文本1"/>
    <w:basedOn w:val="1"/>
    <w:qFormat/>
    <w:uiPriority w:val="0"/>
    <w:pPr>
      <w:suppressAutoHyphens/>
      <w:snapToGrid w:val="0"/>
      <w:spacing w:line="400" w:lineRule="exact"/>
    </w:pPr>
    <w:rPr>
      <w:rFonts w:ascii="宋体" w:hAnsi="宋体"/>
      <w:kern w:val="1"/>
      <w:sz w:val="21"/>
      <w:szCs w:val="21"/>
      <w:lang w:eastAsia="ar-SA"/>
    </w:rPr>
  </w:style>
  <w:style w:type="paragraph" w:customStyle="1" w:styleId="10">
    <w:name w:val="样式35"/>
    <w:next w:val="1"/>
    <w:qFormat/>
    <w:uiPriority w:val="0"/>
    <w:pPr>
      <w:widowControl w:val="0"/>
      <w:spacing w:line="312" w:lineRule="auto"/>
      <w:ind w:firstLine="567"/>
      <w:jc w:val="both"/>
    </w:pPr>
    <w:rPr>
      <w:rFonts w:ascii="宋体" w:hAnsi="Calibri" w:eastAsia="宋体" w:cs="宋体"/>
      <w:kern w:val="2"/>
      <w:sz w:val="28"/>
      <w:lang w:val="en-US" w:eastAsia="zh-CN" w:bidi="ar-SA"/>
    </w:rPr>
  </w:style>
  <w:style w:type="paragraph" w:styleId="11">
    <w:name w:val="Balloon Text"/>
    <w:basedOn w:val="1"/>
    <w:link w:val="29"/>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rPr>
      <w:sz w:val="24"/>
    </w:rPr>
  </w:style>
  <w:style w:type="paragraph" w:styleId="15">
    <w:name w:val="Title"/>
    <w:basedOn w:val="1"/>
    <w:next w:val="1"/>
    <w:qFormat/>
    <w:uiPriority w:val="0"/>
    <w:pPr>
      <w:wordWrap w:val="0"/>
      <w:spacing w:line="360" w:lineRule="auto"/>
      <w:ind w:firstLine="480" w:firstLineChars="200"/>
    </w:pPr>
    <w:rPr>
      <w:bCs/>
      <w:sz w:val="24"/>
      <w:szCs w:val="32"/>
    </w:rPr>
  </w:style>
  <w:style w:type="paragraph" w:styleId="16">
    <w:name w:val="annotation subject"/>
    <w:basedOn w:val="4"/>
    <w:next w:val="4"/>
    <w:link w:val="31"/>
    <w:unhideWhenUsed/>
    <w:qFormat/>
    <w:uiPriority w:val="99"/>
    <w:rPr>
      <w:b/>
      <w:bCs/>
    </w:rPr>
  </w:style>
  <w:style w:type="paragraph" w:styleId="17">
    <w:name w:val="Body Text First Indent"/>
    <w:basedOn w:val="5"/>
    <w:next w:val="1"/>
    <w:qFormat/>
    <w:uiPriority w:val="0"/>
    <w:pPr>
      <w:widowControl w:val="0"/>
      <w:snapToGrid/>
      <w:spacing w:before="0" w:after="120" w:line="360" w:lineRule="auto"/>
      <w:ind w:right="0" w:firstLine="200" w:firstLineChars="200"/>
    </w:pPr>
    <w:rPr>
      <w:snapToGrid w:val="0"/>
      <w:color w:val="000000"/>
      <w:kern w:val="2"/>
      <w:sz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unhideWhenUsed/>
    <w:qFormat/>
    <w:uiPriority w:val="99"/>
    <w:rPr>
      <w:sz w:val="21"/>
      <w:szCs w:val="21"/>
    </w:rPr>
  </w:style>
  <w:style w:type="paragraph" w:customStyle="1" w:styleId="22">
    <w:name w:val="正文(首行缩进)"/>
    <w:basedOn w:val="1"/>
    <w:qFormat/>
    <w:uiPriority w:val="0"/>
    <w:pPr>
      <w:spacing w:line="360" w:lineRule="auto"/>
      <w:ind w:firstLine="480" w:firstLineChars="200"/>
    </w:pPr>
    <w:rPr>
      <w:rFonts w:ascii="宋体" w:hAnsi="宋体"/>
      <w:color w:val="000000"/>
      <w:kern w:val="24"/>
      <w:szCs w:val="20"/>
    </w:rPr>
  </w:style>
  <w:style w:type="character" w:customStyle="1" w:styleId="23">
    <w:name w:val="页眉 Char"/>
    <w:basedOn w:val="20"/>
    <w:link w:val="13"/>
    <w:qFormat/>
    <w:uiPriority w:val="99"/>
    <w:rPr>
      <w:sz w:val="18"/>
      <w:szCs w:val="18"/>
    </w:rPr>
  </w:style>
  <w:style w:type="character" w:customStyle="1" w:styleId="24">
    <w:name w:val="页脚 Char"/>
    <w:basedOn w:val="20"/>
    <w:link w:val="12"/>
    <w:qFormat/>
    <w:uiPriority w:val="99"/>
    <w:rPr>
      <w:sz w:val="18"/>
      <w:szCs w:val="18"/>
    </w:rPr>
  </w:style>
  <w:style w:type="paragraph" w:customStyle="1" w:styleId="25">
    <w:name w:val="List Paragraph"/>
    <w:basedOn w:val="1"/>
    <w:qFormat/>
    <w:uiPriority w:val="99"/>
    <w:pPr>
      <w:ind w:firstLine="420" w:firstLineChars="200"/>
    </w:pPr>
  </w:style>
  <w:style w:type="paragraph" w:customStyle="1" w:styleId="26">
    <w:name w:val="表格内容"/>
    <w:basedOn w:val="1"/>
    <w:next w:val="5"/>
    <w:qFormat/>
    <w:uiPriority w:val="0"/>
    <w:pPr>
      <w:adjustRightInd w:val="0"/>
      <w:snapToGrid w:val="0"/>
      <w:jc w:val="center"/>
    </w:pPr>
    <w:rPr>
      <w:snapToGrid w:val="0"/>
      <w:szCs w:val="18"/>
    </w:rPr>
  </w:style>
  <w:style w:type="character" w:customStyle="1" w:styleId="27">
    <w:name w:val="正文文本缩进 Char"/>
    <w:basedOn w:val="20"/>
    <w:link w:val="6"/>
    <w:qFormat/>
    <w:uiPriority w:val="0"/>
    <w:rPr>
      <w:kern w:val="2"/>
      <w:sz w:val="21"/>
    </w:rPr>
  </w:style>
  <w:style w:type="paragraph" w:customStyle="1" w:styleId="28">
    <w:name w:val="Char"/>
    <w:basedOn w:val="1"/>
    <w:qFormat/>
    <w:uiPriority w:val="0"/>
    <w:pPr>
      <w:spacing w:line="360" w:lineRule="auto"/>
    </w:pPr>
    <w:rPr>
      <w:szCs w:val="24"/>
    </w:rPr>
  </w:style>
  <w:style w:type="character" w:customStyle="1" w:styleId="29">
    <w:name w:val="批注框文本 Char"/>
    <w:basedOn w:val="20"/>
    <w:link w:val="11"/>
    <w:semiHidden/>
    <w:qFormat/>
    <w:uiPriority w:val="99"/>
    <w:rPr>
      <w:kern w:val="2"/>
      <w:sz w:val="18"/>
      <w:szCs w:val="18"/>
    </w:rPr>
  </w:style>
  <w:style w:type="character" w:customStyle="1" w:styleId="30">
    <w:name w:val="批注文字 Char"/>
    <w:basedOn w:val="20"/>
    <w:link w:val="4"/>
    <w:semiHidden/>
    <w:qFormat/>
    <w:uiPriority w:val="99"/>
    <w:rPr>
      <w:kern w:val="2"/>
      <w:sz w:val="21"/>
    </w:rPr>
  </w:style>
  <w:style w:type="character" w:customStyle="1" w:styleId="31">
    <w:name w:val="批注主题 Char"/>
    <w:basedOn w:val="30"/>
    <w:link w:val="16"/>
    <w:semiHidden/>
    <w:qFormat/>
    <w:uiPriority w:val="99"/>
    <w:rPr>
      <w:b/>
      <w:bCs/>
    </w:rPr>
  </w:style>
  <w:style w:type="paragraph" w:customStyle="1" w:styleId="32">
    <w:name w:val="正文（小四）"/>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33">
    <w:name w:val="1正文（chuan）"/>
    <w:basedOn w:val="1"/>
    <w:qFormat/>
    <w:uiPriority w:val="0"/>
    <w:pPr>
      <w:spacing w:line="360" w:lineRule="auto"/>
      <w:ind w:firstLine="480" w:firstLineChars="200"/>
    </w:pPr>
    <w:rPr>
      <w:kern w:val="0"/>
      <w:sz w:val="24"/>
      <w:szCs w:val="20"/>
    </w:rPr>
  </w:style>
  <w:style w:type="paragraph" w:customStyle="1" w:styleId="34">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5">
    <w:name w:val="表格名称"/>
    <w:basedOn w:val="1"/>
    <w:next w:val="1"/>
    <w:qFormat/>
    <w:uiPriority w:val="0"/>
    <w:pPr>
      <w:spacing w:line="360" w:lineRule="auto"/>
      <w:jc w:val="center"/>
    </w:pPr>
    <w:rPr>
      <w:rFonts w:asciiTheme="minorHAnsi" w:hAnsiTheme="minorHAnsi" w:cstheme="minorBidi"/>
      <w:b/>
      <w:szCs w:val="21"/>
    </w:rPr>
  </w:style>
  <w:style w:type="paragraph" w:customStyle="1" w:styleId="36">
    <w:name w:val="正文内容"/>
    <w:qFormat/>
    <w:uiPriority w:val="0"/>
    <w:pPr>
      <w:wordWrap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7">
    <w:name w:val="表内正文"/>
    <w:basedOn w:val="1"/>
    <w:next w:val="1"/>
    <w:qFormat/>
    <w:uiPriority w:val="0"/>
    <w:pPr>
      <w:widowControl/>
      <w:wordWrap w:val="0"/>
      <w:adjustRightInd w:val="0"/>
      <w:snapToGrid w:val="0"/>
      <w:jc w:val="center"/>
    </w:pPr>
    <w:rPr>
      <w:rFonts w:cs="宋体"/>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1381</Words>
  <Characters>1535</Characters>
  <Lines>10</Lines>
  <Paragraphs>2</Paragraphs>
  <TotalTime>3</TotalTime>
  <ScaleCrop>false</ScaleCrop>
  <LinksUpToDate>false</LinksUpToDate>
  <CharactersWithSpaces>1747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2021-05-17T00:42:00Z</dcterms:created>
  <dc:creator>User</dc:creator>
  <cp:lastModifiedBy>Shirley</cp:lastModifiedBy>
  <cp:lastPrinted>2023-06-07T18:56:00Z</cp:lastPrinted>
  <dcterms:modified xsi:type="dcterms:W3CDTF">2024-06-12T08:36:30Z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722A79A85DFE4AFCAAC2704C6BEB46EC</vt:lpwstr>
  </property>
</Properties>
</file>