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907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1AE9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1" w:hRule="atLeast"/>
        </w:trPr>
        <w:tc>
          <w:tcPr>
            <w:tcW w:w="9075" w:type="dxa"/>
          </w:tcPr>
          <w:p w14:paraId="59F0C89F">
            <w:pPr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生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态环境行政主管部门审批意见：</w:t>
            </w:r>
          </w:p>
          <w:p w14:paraId="32BA1DD0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榕台环评〔202</w:t>
            </w:r>
            <w:r>
              <w:rPr>
                <w:rFonts w:hint="eastAsia" w:cs="Times New Roman"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〕</w:t>
            </w:r>
            <w:r>
              <w:rPr>
                <w:rFonts w:hint="eastAsia" w:cs="Times New Roman"/>
                <w:color w:va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号</w:t>
            </w:r>
          </w:p>
          <w:p w14:paraId="30B60249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福州市台江区瑞辰动物缘宠物医院</w:t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有限公司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报送的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福州市台江区瑞辰动物缘宠物医院扩建</w:t>
            </w:r>
            <w:r>
              <w:rPr>
                <w:rFonts w:hint="eastAsia"/>
                <w:color w:val="auto"/>
                <w:lang w:val="en-US" w:eastAsia="zh-CN"/>
              </w:rPr>
              <w:t>项目环境影响报告表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》（以下简称报告表）及相关申请审批的材料收悉。根据《中华人民共和国环境影响评价法》第22条等规定，现提出审批意见如下：</w:t>
            </w:r>
          </w:p>
          <w:p w14:paraId="511EA130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根据《报告表》评价结论：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福州市台江区瑞辰动物缘宠物医院扩建</w:t>
            </w:r>
            <w:r>
              <w:rPr>
                <w:rFonts w:hint="eastAsia"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在</w:t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 REF 项目地址 \h  \* MERGEFORMAT </w:instrText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福建省福州市台江区上海街道白马中路126号书香大第9#楼1层10店面</w:t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建设，</w:t>
            </w:r>
            <w:r>
              <w:rPr>
                <w:rFonts w:hint="eastAsia"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扩建投</w:t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资额为</w:t>
            </w:r>
            <w:r>
              <w:rPr>
                <w:rFonts w:hint="eastAsia"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50</w:t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依托现有的宠物医院经营，（营业面积210m</w:t>
            </w:r>
            <w:r>
              <w:rPr>
                <w:rFonts w:hint="eastAsia"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）。</w:t>
            </w:r>
          </w:p>
          <w:p w14:paraId="70182D0F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项目应落实《报告表》提出的各项污染防治措施，重点做好以下工作：</w:t>
            </w:r>
          </w:p>
          <w:p w14:paraId="7D8EF67A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废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水</w:t>
            </w:r>
          </w:p>
          <w:p w14:paraId="1407027F">
            <w:pPr>
              <w:widowControl/>
              <w:spacing w:line="240" w:lineRule="atLeast"/>
              <w:ind w:firstLine="420"/>
              <w:jc w:val="left"/>
              <w:rPr>
                <w:color w:val="auto"/>
              </w:rPr>
            </w:pPr>
            <w:r>
              <w:rPr>
                <w:color w:val="auto"/>
              </w:rPr>
              <w:t>本项目</w:t>
            </w:r>
            <w:r>
              <w:rPr>
                <w:rFonts w:hint="eastAsia"/>
                <w:color w:val="auto"/>
                <w:lang w:eastAsia="zh-CN"/>
              </w:rPr>
              <w:t>产生</w:t>
            </w:r>
            <w:r>
              <w:rPr>
                <w:color w:val="auto"/>
              </w:rPr>
              <w:t>医疗废水、生活污水。</w:t>
            </w:r>
          </w:p>
          <w:p w14:paraId="1475929E">
            <w:pPr>
              <w:widowControl/>
              <w:spacing w:line="240" w:lineRule="atLeast"/>
              <w:ind w:firstLine="420"/>
              <w:jc w:val="left"/>
              <w:rPr>
                <w:rFonts w:hint="eastAsia" w:eastAsiaTheme="minorEastAsia"/>
                <w:bCs/>
                <w:color w:val="auto"/>
                <w:szCs w:val="32"/>
                <w:lang w:eastAsia="zh-CN"/>
              </w:rPr>
            </w:pPr>
            <w:r>
              <w:rPr>
                <w:color w:val="auto"/>
              </w:rPr>
              <w:t>宠物医疗废水</w:t>
            </w:r>
            <w:r>
              <w:rPr>
                <w:rFonts w:hint="eastAsia"/>
                <w:color w:val="auto"/>
                <w:lang w:eastAsia="zh-CN"/>
              </w:rPr>
              <w:t>应</w:t>
            </w:r>
            <w:r>
              <w:rPr>
                <w:color w:val="auto"/>
              </w:rPr>
              <w:t>经</w:t>
            </w:r>
            <w:r>
              <w:rPr>
                <w:rFonts w:hint="eastAsia"/>
                <w:color w:val="auto"/>
                <w:lang w:eastAsia="zh-CN"/>
              </w:rPr>
              <w:t>消毒设备</w:t>
            </w:r>
            <w:r>
              <w:rPr>
                <w:color w:val="auto"/>
              </w:rPr>
              <w:t>预处理后，与生活污水一并进入化粪池</w:t>
            </w:r>
            <w:r>
              <w:rPr>
                <w:color w:val="auto"/>
                <w:kern w:val="0"/>
              </w:rPr>
              <w:t>经市政污水管网排入福州市洋里污水处理厂处理</w:t>
            </w:r>
            <w:r>
              <w:rPr>
                <w:color w:val="auto"/>
              </w:rPr>
              <w:t>，</w:t>
            </w:r>
            <w:r>
              <w:rPr>
                <w:rFonts w:hint="eastAsia"/>
                <w:color w:val="auto"/>
                <w:lang w:eastAsia="zh-CN"/>
              </w:rPr>
              <w:t>废水执行</w:t>
            </w:r>
            <w:r>
              <w:rPr>
                <w:color w:val="auto"/>
              </w:rPr>
              <w:t>《污水综合排放标准》（GB8978-1996）表4中的三级排放标准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49FC14D9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废气</w:t>
            </w:r>
          </w:p>
          <w:p w14:paraId="4E3E8BBF">
            <w:pPr>
              <w:widowControl/>
              <w:spacing w:line="240" w:lineRule="atLeast"/>
              <w:ind w:firstLine="420"/>
              <w:jc w:val="left"/>
              <w:rPr>
                <w:rFonts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动物医院安装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  <w:t>新风系统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通风换气</w:t>
            </w:r>
            <w:r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  <w:t>、利用喷洒除臭剂等方式，防治恶臭污染。</w:t>
            </w:r>
            <w:r>
              <w:rPr>
                <w:rFonts w:hint="eastAsia" w:eastAsia="宋体"/>
                <w:color w:val="auto"/>
                <w:lang w:val="en-US" w:eastAsia="zh-CN"/>
              </w:rPr>
              <w:t>废气执行《恶臭污染物排放标准》（GB14554-93）表1二级新扩改建标准。</w:t>
            </w:r>
          </w:p>
          <w:p w14:paraId="0A2C255D"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噪声</w:t>
            </w:r>
          </w:p>
          <w:p w14:paraId="40CA33BE">
            <w:pPr>
              <w:widowControl/>
              <w:spacing w:line="240" w:lineRule="atLeast"/>
              <w:ind w:firstLine="420"/>
              <w:jc w:val="left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本项目运营期间产生的噪声主要来自动物叫声。</w:t>
            </w:r>
          </w:p>
          <w:p w14:paraId="0AB1745A">
            <w:pPr>
              <w:widowControl/>
              <w:spacing w:line="240" w:lineRule="atLeast"/>
              <w:ind w:firstLine="420"/>
              <w:jc w:val="left"/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  <w:t>对病房采取一定的隔声减噪措施。</w:t>
            </w:r>
            <w:r>
              <w:rPr>
                <w:color w:val="auto"/>
              </w:rPr>
              <w:t>边界噪声</w:t>
            </w:r>
            <w:r>
              <w:rPr>
                <w:rFonts w:hint="eastAsia"/>
                <w:color w:val="auto"/>
                <w:lang w:eastAsia="zh-CN"/>
              </w:rPr>
              <w:t>执行</w:t>
            </w:r>
            <w:r>
              <w:rPr>
                <w:color w:val="auto"/>
              </w:rPr>
              <w:t>《社会生活环境噪声排放标准》（GB22337-2008）中表1中的2类标准，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靠近工业路一侧场界噪声监测值</w:t>
            </w:r>
            <w:r>
              <w:rPr>
                <w:rFonts w:hint="eastAsia"/>
                <w:color w:val="auto"/>
                <w:lang w:eastAsia="zh-CN"/>
              </w:rPr>
              <w:t>执行</w:t>
            </w:r>
            <w:r>
              <w:rPr>
                <w:color w:val="auto"/>
              </w:rPr>
              <w:t>《社会生活环境噪声排放标准》（GB22337-2008）中表1中的</w:t>
            </w: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类标准。</w:t>
            </w:r>
          </w:p>
          <w:p w14:paraId="041D34C9"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（4）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固废</w:t>
            </w:r>
          </w:p>
          <w:p w14:paraId="7AA01111">
            <w:pPr>
              <w:widowControl/>
              <w:spacing w:line="240" w:lineRule="atLeast"/>
              <w:ind w:firstLine="420"/>
              <w:jc w:val="left"/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  <w:t>本项目产生的固体废物主要有医疗废物、废水处理污泥、化验废液及生活垃圾。</w:t>
            </w:r>
          </w:p>
          <w:p w14:paraId="08D41E8B">
            <w:pPr>
              <w:widowControl/>
              <w:spacing w:line="240" w:lineRule="atLeast"/>
              <w:ind w:firstLine="420"/>
              <w:jc w:val="left"/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  <w:t>医疗废物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Cs w:val="24"/>
                <w:highlight w:val="none"/>
                <w:lang w:val="en-US" w:eastAsia="zh-CN"/>
              </w:rPr>
              <w:t>使用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Cs w:val="24"/>
                <w:highlight w:val="none"/>
              </w:rPr>
              <w:t>医废垃圾桶分类收集</w:t>
            </w:r>
            <w:r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  <w:t>，废水处理产生的污泥应定期清掏，</w:t>
            </w: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化验废液收集后</w:t>
            </w:r>
            <w:r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  <w:t>同医疗废物、废水处理产生污泥一起暂存于危废间中，委托有资质的单位处置。</w:t>
            </w:r>
          </w:p>
          <w:p w14:paraId="2240B0B6">
            <w:pPr>
              <w:widowControl/>
              <w:spacing w:line="240" w:lineRule="atLeast"/>
              <w:ind w:firstLine="420"/>
              <w:jc w:val="left"/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color w:val="auto"/>
              </w:rPr>
              <w:t>危险废物的贮存和转运</w:t>
            </w:r>
            <w:r>
              <w:rPr>
                <w:rFonts w:hint="eastAsia"/>
                <w:color w:val="auto"/>
                <w:lang w:eastAsia="zh-CN"/>
              </w:rPr>
              <w:t>执行</w:t>
            </w:r>
            <w:r>
              <w:rPr>
                <w:color w:val="auto"/>
              </w:rPr>
              <w:t>GB18597-2023《危险废物贮存污染控制标准》和《危险废物转移联单管理办法》</w:t>
            </w:r>
            <w:r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  <w:t>。</w:t>
            </w:r>
          </w:p>
          <w:p w14:paraId="160E13F9">
            <w:pPr>
              <w:widowControl/>
              <w:spacing w:line="240" w:lineRule="atLeast"/>
              <w:ind w:firstLine="420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>生活垃圾</w:t>
            </w:r>
            <w:r>
              <w:rPr>
                <w:rFonts w:hint="eastAsia"/>
                <w:color w:val="auto"/>
                <w:lang w:eastAsia="zh-CN"/>
              </w:rPr>
              <w:t>应</w:t>
            </w:r>
            <w:r>
              <w:rPr>
                <w:color w:val="auto"/>
              </w:rPr>
              <w:t>单独收集，定点堆放，定期交由环卫部门统一清运处理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 w14:paraId="784E85EF">
            <w:pPr>
              <w:widowControl/>
              <w:numPr>
                <w:ilvl w:val="0"/>
                <w:numId w:val="1"/>
              </w:numPr>
              <w:spacing w:line="240" w:lineRule="atLeast"/>
              <w:ind w:firstLine="420"/>
              <w:jc w:val="lef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建设单位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严格落实环保“三同时”制度，认真落实报告表提出的各项环保对策措施，加强环境管理与监测，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项目竣工后，应依法按规定程序实施竣工环保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验收。</w:t>
            </w:r>
          </w:p>
          <w:p w14:paraId="7AF84BD5">
            <w:pPr>
              <w:widowControl/>
              <w:numPr>
                <w:ilvl w:val="0"/>
                <w:numId w:val="1"/>
              </w:numPr>
              <w:spacing w:line="240" w:lineRule="atLeast"/>
              <w:ind w:firstLine="420"/>
              <w:jc w:val="left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我局委托福州市台江生态环境保护综合执法大队开展项目环保“三同时”监督监察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日常环保监督管理及负责督促福州市台江区瑞辰动物缘宠物医院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扩建项目的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竣工环保验收工作。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</w:t>
            </w:r>
          </w:p>
          <w:p w14:paraId="6975908D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经办人: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                                 </w:t>
            </w:r>
          </w:p>
          <w:p w14:paraId="1DAECA57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</w:t>
            </w:r>
          </w:p>
          <w:p w14:paraId="08EBE970"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福州市生态环境局</w:t>
            </w:r>
          </w:p>
          <w:p w14:paraId="5A0DFC2C">
            <w:pPr>
              <w:spacing w:line="340" w:lineRule="exact"/>
              <w:ind w:firstLine="420" w:firstLineChars="200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202</w:t>
            </w:r>
            <w:r>
              <w:rPr>
                <w:rFonts w:hint="eastAsia" w:cs="Times New Roman"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年</w:t>
            </w:r>
            <w:r>
              <w:rPr>
                <w:rFonts w:hint="eastAsia" w:cs="Times New Roman"/>
                <w:color w:va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月</w:t>
            </w:r>
            <w:r>
              <w:rPr>
                <w:rFonts w:hint="eastAsia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</w:t>
            </w:r>
          </w:p>
        </w:tc>
      </w:tr>
    </w:tbl>
    <w:p w14:paraId="5DE26D5A"/>
    <w:sectPr>
      <w:pgSz w:w="11906" w:h="16838"/>
      <w:pgMar w:top="567" w:right="1757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FE8AD"/>
    <w:multiLevelType w:val="singleLevel"/>
    <w:tmpl w:val="4DFFE8A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jEyMWVmMTRkMzFlOWVmZWU1NTRhOTllODM1YjAifQ=="/>
  </w:docVars>
  <w:rsids>
    <w:rsidRoot w:val="002F0253"/>
    <w:rsid w:val="00000F1B"/>
    <w:rsid w:val="00027900"/>
    <w:rsid w:val="00040802"/>
    <w:rsid w:val="00056B19"/>
    <w:rsid w:val="00060B0F"/>
    <w:rsid w:val="000822E5"/>
    <w:rsid w:val="00084B57"/>
    <w:rsid w:val="000A4F9D"/>
    <w:rsid w:val="000E3A05"/>
    <w:rsid w:val="000E6217"/>
    <w:rsid w:val="001116E3"/>
    <w:rsid w:val="00112EEF"/>
    <w:rsid w:val="00116771"/>
    <w:rsid w:val="00127CF7"/>
    <w:rsid w:val="00135638"/>
    <w:rsid w:val="00183C03"/>
    <w:rsid w:val="0018662E"/>
    <w:rsid w:val="001B1F54"/>
    <w:rsid w:val="001E1BB0"/>
    <w:rsid w:val="001F6A01"/>
    <w:rsid w:val="00202671"/>
    <w:rsid w:val="002545A3"/>
    <w:rsid w:val="0028478D"/>
    <w:rsid w:val="00286BBE"/>
    <w:rsid w:val="00287E08"/>
    <w:rsid w:val="002914D1"/>
    <w:rsid w:val="002A4F8A"/>
    <w:rsid w:val="002D279D"/>
    <w:rsid w:val="002E3E43"/>
    <w:rsid w:val="002F0253"/>
    <w:rsid w:val="00307DDD"/>
    <w:rsid w:val="00374D27"/>
    <w:rsid w:val="003B0E8C"/>
    <w:rsid w:val="003B3C8B"/>
    <w:rsid w:val="003E2FAB"/>
    <w:rsid w:val="00404652"/>
    <w:rsid w:val="004350A2"/>
    <w:rsid w:val="00465327"/>
    <w:rsid w:val="00481832"/>
    <w:rsid w:val="00487A0E"/>
    <w:rsid w:val="004C0829"/>
    <w:rsid w:val="004D4956"/>
    <w:rsid w:val="00517E3C"/>
    <w:rsid w:val="005223CA"/>
    <w:rsid w:val="00531CB3"/>
    <w:rsid w:val="005463DC"/>
    <w:rsid w:val="00554353"/>
    <w:rsid w:val="00556226"/>
    <w:rsid w:val="005769C3"/>
    <w:rsid w:val="005A3870"/>
    <w:rsid w:val="005C0066"/>
    <w:rsid w:val="005D451E"/>
    <w:rsid w:val="005E4C3C"/>
    <w:rsid w:val="006454BB"/>
    <w:rsid w:val="00656E24"/>
    <w:rsid w:val="006E4402"/>
    <w:rsid w:val="006F3ED5"/>
    <w:rsid w:val="00704E36"/>
    <w:rsid w:val="00777100"/>
    <w:rsid w:val="00777FBD"/>
    <w:rsid w:val="00783107"/>
    <w:rsid w:val="007912BA"/>
    <w:rsid w:val="007A5317"/>
    <w:rsid w:val="007B22D3"/>
    <w:rsid w:val="007C1411"/>
    <w:rsid w:val="007C1430"/>
    <w:rsid w:val="007C1902"/>
    <w:rsid w:val="007C7A35"/>
    <w:rsid w:val="007F1B5A"/>
    <w:rsid w:val="00816ECF"/>
    <w:rsid w:val="00840AE9"/>
    <w:rsid w:val="00850B33"/>
    <w:rsid w:val="00863B58"/>
    <w:rsid w:val="00894996"/>
    <w:rsid w:val="008C451A"/>
    <w:rsid w:val="008C532C"/>
    <w:rsid w:val="008D022A"/>
    <w:rsid w:val="008E5015"/>
    <w:rsid w:val="008F5B5B"/>
    <w:rsid w:val="0092135D"/>
    <w:rsid w:val="00921439"/>
    <w:rsid w:val="00932133"/>
    <w:rsid w:val="009404DF"/>
    <w:rsid w:val="0094364D"/>
    <w:rsid w:val="009B4650"/>
    <w:rsid w:val="009E1327"/>
    <w:rsid w:val="00A46F9B"/>
    <w:rsid w:val="00A673A7"/>
    <w:rsid w:val="00A72BB6"/>
    <w:rsid w:val="00AD4BB2"/>
    <w:rsid w:val="00AE2824"/>
    <w:rsid w:val="00B3396C"/>
    <w:rsid w:val="00B42CA2"/>
    <w:rsid w:val="00B7188C"/>
    <w:rsid w:val="00BD0546"/>
    <w:rsid w:val="00BE5DF9"/>
    <w:rsid w:val="00C063A1"/>
    <w:rsid w:val="00C2593A"/>
    <w:rsid w:val="00C3174B"/>
    <w:rsid w:val="00C34B7A"/>
    <w:rsid w:val="00C36599"/>
    <w:rsid w:val="00C41158"/>
    <w:rsid w:val="00D26826"/>
    <w:rsid w:val="00D32031"/>
    <w:rsid w:val="00D42EDE"/>
    <w:rsid w:val="00D43C2B"/>
    <w:rsid w:val="00D502EC"/>
    <w:rsid w:val="00D57B9B"/>
    <w:rsid w:val="00D94BA2"/>
    <w:rsid w:val="00DF6E20"/>
    <w:rsid w:val="00E00DF2"/>
    <w:rsid w:val="00E25C4A"/>
    <w:rsid w:val="00E56C8B"/>
    <w:rsid w:val="00E933D0"/>
    <w:rsid w:val="00E969EA"/>
    <w:rsid w:val="00E96D5E"/>
    <w:rsid w:val="00EB3751"/>
    <w:rsid w:val="00EE2A0E"/>
    <w:rsid w:val="00EE7301"/>
    <w:rsid w:val="00F03E62"/>
    <w:rsid w:val="00F70735"/>
    <w:rsid w:val="00F73B0F"/>
    <w:rsid w:val="00FA2BA3"/>
    <w:rsid w:val="00FC3CF3"/>
    <w:rsid w:val="03F73BAF"/>
    <w:rsid w:val="041B3BAA"/>
    <w:rsid w:val="04405112"/>
    <w:rsid w:val="050E4732"/>
    <w:rsid w:val="06631998"/>
    <w:rsid w:val="08F42CA5"/>
    <w:rsid w:val="0AE47146"/>
    <w:rsid w:val="0F131F4D"/>
    <w:rsid w:val="118434AB"/>
    <w:rsid w:val="124F10E5"/>
    <w:rsid w:val="147F4BBF"/>
    <w:rsid w:val="150C68CB"/>
    <w:rsid w:val="16104E59"/>
    <w:rsid w:val="161407B6"/>
    <w:rsid w:val="18473978"/>
    <w:rsid w:val="18F733EE"/>
    <w:rsid w:val="1915022F"/>
    <w:rsid w:val="1AF91B00"/>
    <w:rsid w:val="1B5D1E74"/>
    <w:rsid w:val="1C486990"/>
    <w:rsid w:val="1C8D4327"/>
    <w:rsid w:val="1DD173D9"/>
    <w:rsid w:val="1F562CD8"/>
    <w:rsid w:val="250B2A77"/>
    <w:rsid w:val="251E1509"/>
    <w:rsid w:val="254A2079"/>
    <w:rsid w:val="27844BB0"/>
    <w:rsid w:val="2A1E075D"/>
    <w:rsid w:val="2A2A7127"/>
    <w:rsid w:val="2B1449BC"/>
    <w:rsid w:val="2C747E8E"/>
    <w:rsid w:val="2C7911D6"/>
    <w:rsid w:val="2F355876"/>
    <w:rsid w:val="2F834982"/>
    <w:rsid w:val="31AF2660"/>
    <w:rsid w:val="33780CF4"/>
    <w:rsid w:val="36EB6276"/>
    <w:rsid w:val="38EB604F"/>
    <w:rsid w:val="3AA01AB2"/>
    <w:rsid w:val="3BF122DD"/>
    <w:rsid w:val="3FD75D85"/>
    <w:rsid w:val="402D5EDA"/>
    <w:rsid w:val="40D70CC1"/>
    <w:rsid w:val="41BB286D"/>
    <w:rsid w:val="4253255E"/>
    <w:rsid w:val="43525542"/>
    <w:rsid w:val="443A3632"/>
    <w:rsid w:val="46D540D8"/>
    <w:rsid w:val="4A897868"/>
    <w:rsid w:val="4E2E0EA5"/>
    <w:rsid w:val="4E4A7E00"/>
    <w:rsid w:val="559C6BD9"/>
    <w:rsid w:val="574C11EA"/>
    <w:rsid w:val="59D253EF"/>
    <w:rsid w:val="5D802B99"/>
    <w:rsid w:val="5FD7A097"/>
    <w:rsid w:val="680A43A3"/>
    <w:rsid w:val="69F83B0B"/>
    <w:rsid w:val="6A0D3843"/>
    <w:rsid w:val="6BBC23C0"/>
    <w:rsid w:val="6BBD5B5B"/>
    <w:rsid w:val="6CC877B5"/>
    <w:rsid w:val="705F3DAE"/>
    <w:rsid w:val="71F63242"/>
    <w:rsid w:val="769FF995"/>
    <w:rsid w:val="79E42C79"/>
    <w:rsid w:val="7A340E15"/>
    <w:rsid w:val="7FB5D9C1"/>
    <w:rsid w:val="A777D393"/>
    <w:rsid w:val="EADEEE77"/>
    <w:rsid w:val="FFF35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2"/>
    <w:basedOn w:val="2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431" w:hanging="431"/>
      <w:jc w:val="left"/>
      <w:outlineLvl w:val="1"/>
    </w:pPr>
    <w:rPr>
      <w:rFonts w:ascii="Times New Roman" w:hAnsi="Times New Roman" w:eastAsia="宋体"/>
      <w:sz w:val="28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annotation text"/>
    <w:basedOn w:val="1"/>
    <w:link w:val="31"/>
    <w:unhideWhenUsed/>
    <w:qFormat/>
    <w:uiPriority w:val="99"/>
    <w:pPr>
      <w:jc w:val="left"/>
    </w:pPr>
  </w:style>
  <w:style w:type="paragraph" w:styleId="7">
    <w:name w:val="Body Text"/>
    <w:basedOn w:val="1"/>
    <w:next w:val="4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8">
    <w:name w:val="Body Text Indent"/>
    <w:basedOn w:val="1"/>
    <w:next w:val="9"/>
    <w:link w:val="28"/>
    <w:qFormat/>
    <w:uiPriority w:val="0"/>
    <w:pPr>
      <w:spacing w:after="120"/>
      <w:ind w:left="420" w:leftChars="200"/>
    </w:pPr>
  </w:style>
  <w:style w:type="paragraph" w:styleId="9">
    <w:name w:val="Body Text First Indent 2"/>
    <w:basedOn w:val="8"/>
    <w:next w:val="10"/>
    <w:unhideWhenUsed/>
    <w:qFormat/>
    <w:uiPriority w:val="99"/>
    <w:pPr>
      <w:spacing w:line="360" w:lineRule="auto"/>
      <w:ind w:left="0" w:leftChars="0" w:firstLine="1044" w:firstLineChars="200"/>
    </w:pPr>
    <w:rPr>
      <w:kern w:val="2"/>
    </w:rPr>
  </w:style>
  <w:style w:type="paragraph" w:customStyle="1" w:styleId="10">
    <w:name w:val="Default"/>
    <w:basedOn w:val="11"/>
    <w:next w:val="12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eastAsia="zh-CN"/>
    </w:rPr>
  </w:style>
  <w:style w:type="paragraph" w:customStyle="1" w:styleId="11">
    <w:name w:val="纯文本1"/>
    <w:basedOn w:val="1"/>
    <w:qFormat/>
    <w:uiPriority w:val="0"/>
    <w:pPr>
      <w:suppressAutoHyphens/>
      <w:snapToGrid w:val="0"/>
      <w:spacing w:line="400" w:lineRule="exact"/>
    </w:pPr>
    <w:rPr>
      <w:rFonts w:ascii="宋体" w:hAnsi="宋体"/>
      <w:kern w:val="1"/>
      <w:sz w:val="21"/>
      <w:szCs w:val="21"/>
      <w:lang w:eastAsia="ar-SA"/>
    </w:rPr>
  </w:style>
  <w:style w:type="paragraph" w:customStyle="1" w:styleId="12">
    <w:name w:val="样式35"/>
    <w:next w:val="1"/>
    <w:qFormat/>
    <w:uiPriority w:val="0"/>
    <w:pPr>
      <w:widowControl w:val="0"/>
      <w:spacing w:line="312" w:lineRule="auto"/>
      <w:ind w:firstLine="567"/>
      <w:jc w:val="both"/>
    </w:pPr>
    <w:rPr>
      <w:rFonts w:ascii="宋体" w:hAnsi="Calibri" w:eastAsia="宋体" w:cs="宋体"/>
      <w:kern w:val="2"/>
      <w:sz w:val="28"/>
      <w:lang w:val="en-US" w:eastAsia="zh-CN" w:bidi="ar-SA"/>
    </w:rPr>
  </w:style>
  <w:style w:type="paragraph" w:styleId="13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unhideWhenUsed/>
    <w:qFormat/>
    <w:uiPriority w:val="99"/>
    <w:rPr>
      <w:sz w:val="24"/>
    </w:rPr>
  </w:style>
  <w:style w:type="paragraph" w:styleId="17">
    <w:name w:val="annotation subject"/>
    <w:basedOn w:val="6"/>
    <w:next w:val="6"/>
    <w:link w:val="32"/>
    <w:unhideWhenUsed/>
    <w:qFormat/>
    <w:uiPriority w:val="99"/>
    <w:rPr>
      <w:b/>
      <w:bCs/>
    </w:rPr>
  </w:style>
  <w:style w:type="paragraph" w:styleId="18">
    <w:name w:val="Body Text First Indent"/>
    <w:basedOn w:val="7"/>
    <w:next w:val="1"/>
    <w:qFormat/>
    <w:uiPriority w:val="0"/>
    <w:pPr>
      <w:widowControl w:val="0"/>
      <w:snapToGrid/>
      <w:spacing w:before="0" w:after="120" w:line="360" w:lineRule="auto"/>
      <w:ind w:right="0" w:firstLine="200" w:firstLineChars="200"/>
    </w:pPr>
    <w:rPr>
      <w:snapToGrid w:val="0"/>
      <w:color w:val="000000"/>
      <w:kern w:val="2"/>
      <w:sz w:val="24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unhideWhenUsed/>
    <w:qFormat/>
    <w:uiPriority w:val="99"/>
    <w:rPr>
      <w:sz w:val="21"/>
      <w:szCs w:val="21"/>
    </w:rPr>
  </w:style>
  <w:style w:type="paragraph" w:customStyle="1" w:styleId="23">
    <w:name w:val="正文(首行缩进)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color w:val="000000"/>
      <w:kern w:val="24"/>
      <w:szCs w:val="20"/>
    </w:rPr>
  </w:style>
  <w:style w:type="character" w:customStyle="1" w:styleId="2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4"/>
    <w:qFormat/>
    <w:uiPriority w:val="99"/>
    <w:rPr>
      <w:sz w:val="18"/>
      <w:szCs w:val="18"/>
    </w:rPr>
  </w:style>
  <w:style w:type="paragraph" w:customStyle="1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表格内容"/>
    <w:basedOn w:val="1"/>
    <w:next w:val="7"/>
    <w:qFormat/>
    <w:uiPriority w:val="0"/>
    <w:pPr>
      <w:adjustRightInd w:val="0"/>
      <w:snapToGrid w:val="0"/>
      <w:jc w:val="center"/>
    </w:pPr>
    <w:rPr>
      <w:snapToGrid w:val="0"/>
      <w:szCs w:val="18"/>
    </w:rPr>
  </w:style>
  <w:style w:type="character" w:customStyle="1" w:styleId="28">
    <w:name w:val="正文文本缩进 Char"/>
    <w:basedOn w:val="21"/>
    <w:link w:val="8"/>
    <w:qFormat/>
    <w:uiPriority w:val="0"/>
    <w:rPr>
      <w:kern w:val="2"/>
      <w:sz w:val="21"/>
    </w:rPr>
  </w:style>
  <w:style w:type="paragraph" w:customStyle="1" w:styleId="29">
    <w:name w:val="Char"/>
    <w:basedOn w:val="1"/>
    <w:qFormat/>
    <w:uiPriority w:val="0"/>
    <w:pPr>
      <w:spacing w:line="360" w:lineRule="auto"/>
    </w:pPr>
    <w:rPr>
      <w:szCs w:val="24"/>
    </w:rPr>
  </w:style>
  <w:style w:type="character" w:customStyle="1" w:styleId="30">
    <w:name w:val="批注框文本 Char"/>
    <w:basedOn w:val="21"/>
    <w:link w:val="13"/>
    <w:semiHidden/>
    <w:qFormat/>
    <w:uiPriority w:val="99"/>
    <w:rPr>
      <w:kern w:val="2"/>
      <w:sz w:val="18"/>
      <w:szCs w:val="18"/>
    </w:rPr>
  </w:style>
  <w:style w:type="character" w:customStyle="1" w:styleId="31">
    <w:name w:val="批注文字 Char"/>
    <w:basedOn w:val="21"/>
    <w:link w:val="6"/>
    <w:semiHidden/>
    <w:qFormat/>
    <w:uiPriority w:val="99"/>
    <w:rPr>
      <w:kern w:val="2"/>
      <w:sz w:val="21"/>
    </w:rPr>
  </w:style>
  <w:style w:type="character" w:customStyle="1" w:styleId="32">
    <w:name w:val="批注主题 Char"/>
    <w:basedOn w:val="31"/>
    <w:link w:val="17"/>
    <w:semiHidden/>
    <w:qFormat/>
    <w:uiPriority w:val="99"/>
    <w:rPr>
      <w:b/>
      <w:bCs/>
    </w:rPr>
  </w:style>
  <w:style w:type="paragraph" w:customStyle="1" w:styleId="33">
    <w:name w:val="正文（小四）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color w:val="000000"/>
      <w:kern w:val="2"/>
      <w:sz w:val="24"/>
      <w:szCs w:val="32"/>
      <w:lang w:val="en-US" w:eastAsia="zh-CN" w:bidi="ar-SA"/>
    </w:rPr>
  </w:style>
  <w:style w:type="paragraph" w:customStyle="1" w:styleId="34">
    <w:name w:val="1正文（chuan）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  <w:style w:type="paragraph" w:customStyle="1" w:styleId="35">
    <w:name w:val="表格"/>
    <w:basedOn w:val="1"/>
    <w:next w:val="1"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  <w:style w:type="paragraph" w:customStyle="1" w:styleId="36">
    <w:name w:val="表格名称"/>
    <w:basedOn w:val="1"/>
    <w:next w:val="1"/>
    <w:qFormat/>
    <w:uiPriority w:val="0"/>
    <w:pPr>
      <w:spacing w:line="360" w:lineRule="auto"/>
      <w:jc w:val="center"/>
    </w:pPr>
    <w:rPr>
      <w:rFonts w:asciiTheme="minorHAnsi" w:hAnsiTheme="minorHAnsi" w:cstheme="minorBidi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942</Words>
  <Characters>1024</Characters>
  <Lines>10</Lines>
  <Paragraphs>2</Paragraphs>
  <TotalTime>1</TotalTime>
  <ScaleCrop>false</ScaleCrop>
  <LinksUpToDate>false</LinksUpToDate>
  <CharactersWithSpaces>1272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2021-05-16T00:42:00Z</dcterms:created>
  <dc:creator>User</dc:creator>
  <cp:lastModifiedBy>欢欢</cp:lastModifiedBy>
  <cp:lastPrinted>2023-06-06T18:56:00Z</cp:lastPrinted>
  <dcterms:modified xsi:type="dcterms:W3CDTF">2025-01-02T01:03:24Z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37CA6E966B954F26B804CFD36B7CB974</vt:lpwstr>
  </property>
  <property fmtid="{D5CDD505-2E9C-101B-9397-08002B2CF9AE}" pid="4" name="KSOTemplateDocerSaveRecord">
    <vt:lpwstr>eyJoZGlkIjoiODE5NjEyMWVmMTRkMzFlOWVmZWU1NTRhOTllODM1YjAiLCJ1c2VySWQiOiI4Njc1MzU0MDkifQ==</vt:lpwstr>
  </property>
</Properties>
</file>