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07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1AE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1" w:hRule="atLeast"/>
        </w:trPr>
        <w:tc>
          <w:tcPr>
            <w:tcW w:w="9075" w:type="dxa"/>
          </w:tcPr>
          <w:p w14:paraId="59F0C89F">
            <w:pPr>
              <w:spacing w:line="340" w:lineRule="exact"/>
              <w:rPr>
                <w:rFonts w:hint="eastAsia" w:ascii="Times New Roman" w:hAnsi="Times New Roman" w:eastAsia="宋体" w:cs="Times New Roman"/>
                <w:color w:val="auto"/>
                <w:lang w:val="en-US" w:eastAsia="zh-CN"/>
              </w:rPr>
            </w:pPr>
            <w:r>
              <w:rPr>
                <w:rFonts w:hint="eastAsia" w:ascii="Times New Roman" w:hAnsi="Times New Roman" w:cs="Times New Roman" w:eastAsiaTheme="minorEastAsia"/>
                <w:color w:val="auto"/>
                <w:kern w:val="0"/>
                <w:szCs w:val="21"/>
                <w:lang w:val="en-US" w:eastAsia="zh-CN"/>
              </w:rPr>
              <w:t>生</w:t>
            </w:r>
            <w:r>
              <w:rPr>
                <w:rFonts w:hint="eastAsia" w:ascii="Times New Roman" w:hAnsi="Times New Roman" w:eastAsia="宋体" w:cs="Times New Roman"/>
                <w:color w:val="auto"/>
                <w:lang w:val="en-US" w:eastAsia="zh-CN"/>
              </w:rPr>
              <w:t>态环境行政主管部门审批意见：</w:t>
            </w:r>
          </w:p>
          <w:p w14:paraId="32BA1DD0">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 xml:space="preserve">       </w:t>
            </w:r>
            <w:r>
              <w:rPr>
                <w:rFonts w:hint="eastAsia" w:ascii="Times New Roman" w:hAnsi="Times New Roman" w:eastAsia="宋体" w:cs="Times New Roman"/>
                <w:color w:val="auto"/>
                <w:lang w:val="en-US" w:eastAsia="zh-CN"/>
              </w:rPr>
              <w:t>榕台环评〔202</w:t>
            </w:r>
            <w:r>
              <w:rPr>
                <w:rFonts w:hint="eastAsia" w:cs="Times New Roman"/>
                <w:color w:val="auto"/>
                <w:lang w:val="en-US" w:eastAsia="zh-CN"/>
              </w:rPr>
              <w:t>5</w:t>
            </w:r>
            <w:r>
              <w:rPr>
                <w:rFonts w:hint="eastAsia" w:ascii="Times New Roman" w:hAnsi="Times New Roman" w:eastAsia="宋体" w:cs="Times New Roman"/>
                <w:color w:val="auto"/>
                <w:lang w:val="en-US" w:eastAsia="zh-CN"/>
              </w:rPr>
              <w:t>〕</w:t>
            </w:r>
            <w:r>
              <w:rPr>
                <w:rFonts w:hint="eastAsia" w:cs="Times New Roman"/>
                <w:color w:val="auto"/>
                <w:lang w:val="en-US" w:eastAsia="zh-CN"/>
              </w:rPr>
              <w:t>2</w:t>
            </w:r>
            <w:r>
              <w:rPr>
                <w:rFonts w:hint="eastAsia" w:ascii="Times New Roman" w:hAnsi="Times New Roman" w:eastAsia="宋体" w:cs="Times New Roman"/>
                <w:color w:val="auto"/>
                <w:lang w:val="en-US" w:eastAsia="zh-CN"/>
              </w:rPr>
              <w:t>号</w:t>
            </w:r>
          </w:p>
          <w:p w14:paraId="30B60249">
            <w:pPr>
              <w:spacing w:line="340" w:lineRule="exact"/>
              <w:ind w:firstLine="420" w:firstLineChars="200"/>
              <w:rPr>
                <w:rFonts w:hint="eastAsia" w:ascii="Times New Roman" w:hAnsi="Times New Roman" w:eastAsia="宋体" w:cs="Times New Roman"/>
                <w:color w:val="auto"/>
                <w:lang w:val="en-US" w:eastAsia="zh-CN"/>
              </w:rPr>
            </w:pPr>
            <w:bookmarkStart w:id="0" w:name="公司名称"/>
            <w:r>
              <w:rPr>
                <w:rFonts w:hint="eastAsia"/>
                <w:color w:val="auto"/>
                <w:lang w:eastAsia="zh-CN"/>
              </w:rPr>
              <w:t>福</w:t>
            </w:r>
            <w:bookmarkEnd w:id="0"/>
            <w:r>
              <w:rPr>
                <w:rFonts w:hint="eastAsia"/>
                <w:color w:val="auto"/>
                <w:lang w:eastAsia="zh-CN"/>
              </w:rPr>
              <w:t>建省福州华侨中学</w:t>
            </w:r>
            <w:r>
              <w:rPr>
                <w:rFonts w:hint="eastAsia" w:ascii="Times New Roman" w:hAnsi="Times New Roman" w:eastAsia="宋体" w:cs="Times New Roman"/>
                <w:color w:val="auto"/>
                <w:lang w:val="en-US" w:eastAsia="zh-CN"/>
              </w:rPr>
              <w:t>报送的</w:t>
            </w:r>
            <w:r>
              <w:rPr>
                <w:rFonts w:hint="default" w:ascii="Times New Roman" w:hAnsi="Times New Roman" w:eastAsia="宋体" w:cs="Times New Roman"/>
                <w:color w:val="auto"/>
                <w:lang w:val="en-US" w:eastAsia="zh-CN"/>
              </w:rPr>
              <w:t>《</w:t>
            </w:r>
            <w:r>
              <w:rPr>
                <w:szCs w:val="21"/>
              </w:rPr>
              <w:t>福州华侨中学体艺综合楼</w:t>
            </w:r>
            <w:r>
              <w:rPr>
                <w:rFonts w:hint="eastAsia" w:ascii="宋体" w:hAnsi="宋体" w:eastAsia="宋体" w:cs="宋体"/>
                <w:color w:val="auto"/>
                <w:kern w:val="0"/>
                <w:szCs w:val="21"/>
                <w:lang w:eastAsia="zh-CN"/>
              </w:rPr>
              <w:t>项目</w:t>
            </w:r>
            <w:r>
              <w:rPr>
                <w:rFonts w:hint="eastAsia"/>
                <w:color w:val="auto"/>
                <w:lang w:val="en-US" w:eastAsia="zh-CN"/>
              </w:rPr>
              <w:t>环境影响报告表</w:t>
            </w:r>
            <w:r>
              <w:rPr>
                <w:rFonts w:hint="eastAsia" w:ascii="Times New Roman" w:hAnsi="Times New Roman" w:eastAsia="宋体" w:cs="Times New Roman"/>
                <w:color w:val="auto"/>
                <w:lang w:val="en-US" w:eastAsia="zh-CN"/>
              </w:rPr>
              <w:t>》（以下简称报告表）及相关申请审批的材料收悉。根据《中华人民共和国环境影响评价法》第22条等规定，现提出审批意见如下：</w:t>
            </w:r>
          </w:p>
          <w:p w14:paraId="138E7261">
            <w:pPr>
              <w:spacing w:line="3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一、</w:t>
            </w:r>
            <w:r>
              <w:rPr>
                <w:rFonts w:hint="default" w:ascii="Times New Roman" w:hAnsi="Times New Roman" w:eastAsia="宋体" w:cs="Times New Roman"/>
                <w:color w:val="auto"/>
                <w:lang w:val="en-US" w:eastAsia="zh-CN"/>
              </w:rPr>
              <w:t>根据《报告表》评价结论</w:t>
            </w:r>
            <w:r>
              <w:rPr>
                <w:rFonts w:hint="eastAsia" w:ascii="Times New Roman" w:hAnsi="Times New Roman" w:eastAsia="宋体" w:cs="Times New Roman"/>
                <w:color w:val="auto"/>
                <w:lang w:val="en-US" w:eastAsia="zh-CN"/>
              </w:rPr>
              <w:t>，该项目建设符合福州市国土空间总体规划、福州市生态环境分区管控等要求。在严格落实《报告</w:t>
            </w:r>
            <w:r>
              <w:rPr>
                <w:rFonts w:hint="eastAsia" w:ascii="Times New Roman" w:hAnsi="Times New Roman" w:cs="Times New Roman"/>
                <w:color w:val="auto"/>
                <w:lang w:val="en-US" w:eastAsia="zh-CN"/>
              </w:rPr>
              <w:t>表</w:t>
            </w:r>
            <w:r>
              <w:rPr>
                <w:rFonts w:hint="eastAsia" w:ascii="Times New Roman" w:hAnsi="Times New Roman" w:eastAsia="宋体" w:cs="Times New Roman"/>
                <w:color w:val="auto"/>
                <w:lang w:val="en-US" w:eastAsia="zh-CN"/>
              </w:rPr>
              <w:t>》提出的各项环境保护措施，加强环境管理的前提下，从环境影响角度分析，项目建设是可行的。</w:t>
            </w:r>
            <w:bookmarkStart w:id="1" w:name="_GoBack"/>
            <w:r>
              <w:rPr>
                <w:rFonts w:hint="eastAsia" w:ascii="Times New Roman" w:hAnsi="Times New Roman" w:eastAsia="宋体" w:cs="Times New Roman"/>
                <w:color w:val="auto"/>
                <w:lang w:val="en-US" w:eastAsia="zh-CN"/>
              </w:rPr>
              <w:t>同意项目按照《报告</w:t>
            </w:r>
            <w:r>
              <w:rPr>
                <w:rFonts w:hint="eastAsia" w:ascii="Times New Roman" w:hAnsi="Times New Roman" w:cs="Times New Roman"/>
                <w:color w:val="auto"/>
                <w:lang w:val="en-US" w:eastAsia="zh-CN"/>
              </w:rPr>
              <w:t>表</w:t>
            </w:r>
            <w:r>
              <w:rPr>
                <w:rFonts w:hint="eastAsia" w:ascii="Times New Roman" w:hAnsi="Times New Roman" w:eastAsia="宋体" w:cs="Times New Roman"/>
                <w:color w:val="auto"/>
                <w:lang w:val="en-US" w:eastAsia="zh-CN"/>
              </w:rPr>
              <w:t>》中所列的规模、地点、</w:t>
            </w:r>
            <w:r>
              <w:rPr>
                <w:rFonts w:hint="eastAsia" w:ascii="Times New Roman" w:hAnsi="Times New Roman" w:cs="Times New Roman"/>
                <w:color w:val="auto"/>
                <w:lang w:val="en-US" w:eastAsia="zh-CN"/>
              </w:rPr>
              <w:t>性质，</w:t>
            </w:r>
            <w:r>
              <w:rPr>
                <w:rFonts w:hint="eastAsia" w:ascii="Times New Roman" w:hAnsi="Times New Roman" w:eastAsia="宋体" w:cs="Times New Roman"/>
                <w:color w:val="auto"/>
                <w:lang w:val="en-US" w:eastAsia="zh-CN"/>
              </w:rPr>
              <w:t>采用</w:t>
            </w:r>
            <w:r>
              <w:rPr>
                <w:rFonts w:hint="eastAsia" w:ascii="Times New Roman" w:hAnsi="Times New Roman" w:cs="Times New Roman"/>
                <w:color w:val="auto"/>
                <w:lang w:val="en-US" w:eastAsia="zh-CN"/>
              </w:rPr>
              <w:t>环境</w:t>
            </w:r>
            <w:r>
              <w:rPr>
                <w:rFonts w:hint="eastAsia" w:ascii="Times New Roman" w:hAnsi="Times New Roman" w:eastAsia="宋体" w:cs="Times New Roman"/>
                <w:color w:val="auto"/>
                <w:lang w:val="en-US" w:eastAsia="zh-CN"/>
              </w:rPr>
              <w:t>污染防治、防止生态破坏的措施进行建设。</w:t>
            </w:r>
          </w:p>
          <w:bookmarkEnd w:id="1"/>
          <w:p w14:paraId="70182D0F">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二、</w:t>
            </w:r>
            <w:r>
              <w:rPr>
                <w:rFonts w:hint="default" w:ascii="Times New Roman" w:hAnsi="Times New Roman" w:eastAsia="宋体" w:cs="Times New Roman"/>
                <w:color w:val="auto"/>
                <w:lang w:val="en-US" w:eastAsia="zh-CN"/>
              </w:rPr>
              <w:t>项目</w:t>
            </w:r>
            <w:r>
              <w:rPr>
                <w:rFonts w:hint="eastAsia" w:cs="Times New Roman"/>
                <w:color w:val="auto"/>
                <w:lang w:val="en-US" w:eastAsia="zh-CN"/>
              </w:rPr>
              <w:t>在施工和运营过程中</w:t>
            </w:r>
            <w:r>
              <w:rPr>
                <w:rFonts w:hint="default" w:ascii="Times New Roman" w:hAnsi="Times New Roman" w:eastAsia="宋体" w:cs="Times New Roman"/>
                <w:color w:val="auto"/>
                <w:lang w:val="en-US" w:eastAsia="zh-CN"/>
              </w:rPr>
              <w:t>应落实《报告表》提出的各项污染防治措施，</w:t>
            </w:r>
            <w:r>
              <w:rPr>
                <w:rFonts w:hint="eastAsia" w:cs="Times New Roman"/>
                <w:color w:val="auto"/>
                <w:lang w:val="en-US" w:eastAsia="zh-CN"/>
              </w:rPr>
              <w:t>风险防控措施，</w:t>
            </w:r>
            <w:r>
              <w:rPr>
                <w:rFonts w:hint="default" w:ascii="Times New Roman" w:hAnsi="Times New Roman" w:eastAsia="宋体" w:cs="Times New Roman"/>
                <w:color w:val="auto"/>
                <w:lang w:val="en-US" w:eastAsia="zh-CN"/>
              </w:rPr>
              <w:t>重点做好以下工作：</w:t>
            </w:r>
          </w:p>
          <w:p w14:paraId="7D8EF67A">
            <w:pPr>
              <w:spacing w:line="340" w:lineRule="exact"/>
              <w:ind w:firstLine="420" w:firstLineChars="200"/>
              <w:rPr>
                <w:rFonts w:hint="eastAsia" w:ascii="Times New Roman" w:hAnsi="Times New Roman" w:eastAsia="宋体" w:cs="Times New Roman"/>
                <w:color w:val="auto"/>
                <w:lang w:val="en-US" w:eastAsia="zh-CN"/>
              </w:rPr>
            </w:pPr>
            <w:r>
              <w:rPr>
                <w:rFonts w:hint="eastAsia" w:cs="Times New Roman"/>
                <w:color w:val="auto"/>
                <w:lang w:val="en-US" w:eastAsia="zh-CN"/>
              </w:rPr>
              <w:t>（一）</w:t>
            </w:r>
            <w:r>
              <w:rPr>
                <w:rFonts w:hint="eastAsia" w:ascii="Times New Roman" w:hAnsi="Times New Roman" w:eastAsia="宋体" w:cs="Times New Roman"/>
                <w:color w:val="auto"/>
                <w:lang w:val="en-US" w:eastAsia="zh-CN"/>
              </w:rPr>
              <w:t>水</w:t>
            </w:r>
            <w:r>
              <w:rPr>
                <w:rFonts w:hint="eastAsia" w:cs="Times New Roman"/>
                <w:color w:val="auto"/>
                <w:lang w:val="en-US" w:eastAsia="zh-CN"/>
              </w:rPr>
              <w:t>污染防治</w:t>
            </w:r>
          </w:p>
          <w:p w14:paraId="4D2ABCF1">
            <w:pPr>
              <w:widowControl/>
              <w:spacing w:line="240" w:lineRule="atLeast"/>
              <w:ind w:firstLine="420"/>
              <w:jc w:val="left"/>
              <w:rPr>
                <w:rFonts w:hint="eastAsia"/>
                <w:color w:val="auto"/>
                <w:lang w:eastAsia="zh-CN"/>
              </w:rPr>
            </w:pPr>
            <w:r>
              <w:rPr>
                <w:color w:val="auto"/>
              </w:rPr>
              <w:t>项目</w:t>
            </w:r>
            <w:r>
              <w:rPr>
                <w:rFonts w:hint="eastAsia"/>
                <w:color w:val="auto"/>
                <w:lang w:eastAsia="zh-CN"/>
              </w:rPr>
              <w:t>施工期期间根据建设规模建设污水沉淀池，产生的施工污水需经沉淀池沉淀后，上清液重复利用不外排，生活污水利用学校现有的污水管网排放进入</w:t>
            </w:r>
            <w:r>
              <w:rPr>
                <w:rFonts w:hint="eastAsia" w:ascii="Times New Roman" w:hAnsi="Times New Roman" w:cs="Times New Roman"/>
                <w:color w:val="auto"/>
                <w:lang w:val="en-US" w:eastAsia="zh-CN"/>
              </w:rPr>
              <w:t>祥坂污水处理厂集中处理</w:t>
            </w:r>
            <w:r>
              <w:rPr>
                <w:rFonts w:hint="eastAsia"/>
                <w:color w:val="auto"/>
                <w:lang w:eastAsia="zh-CN"/>
              </w:rPr>
              <w:t>。</w:t>
            </w:r>
          </w:p>
          <w:p w14:paraId="1407027F">
            <w:pPr>
              <w:widowControl/>
              <w:spacing w:line="240" w:lineRule="atLeast"/>
              <w:ind w:firstLine="420"/>
              <w:jc w:val="left"/>
              <w:rPr>
                <w:rFonts w:hint="eastAsia" w:ascii="Times New Roman" w:hAnsi="Times New Roman" w:cs="Times New Roman"/>
                <w:color w:val="auto"/>
                <w:lang w:eastAsia="zh-CN"/>
              </w:rPr>
            </w:pPr>
            <w:r>
              <w:rPr>
                <w:rFonts w:hint="eastAsia"/>
                <w:color w:val="auto"/>
                <w:lang w:eastAsia="zh-CN"/>
              </w:rPr>
              <w:t>项目建成后产生的实验室废水需经酸碱中和池处理后同其他生活污水一同排入项目配备的化粪</w:t>
            </w:r>
            <w:r>
              <w:rPr>
                <w:rFonts w:hint="eastAsia" w:ascii="Times New Roman" w:hAnsi="Times New Roman" w:cs="Times New Roman"/>
                <w:color w:val="auto"/>
                <w:lang w:eastAsia="zh-CN"/>
              </w:rPr>
              <w:t>池处理，</w:t>
            </w:r>
            <w:r>
              <w:rPr>
                <w:rFonts w:hint="eastAsia" w:ascii="Times New Roman" w:hAnsi="Times New Roman" w:cs="Times New Roman"/>
                <w:color w:val="auto"/>
                <w:lang w:val="en-US" w:eastAsia="zh-CN"/>
              </w:rPr>
              <w:t>经市政污水管网纳入祥坂污水处理厂集中处理</w:t>
            </w:r>
            <w:r>
              <w:rPr>
                <w:rFonts w:hint="eastAsia" w:ascii="Times New Roman" w:hAnsi="Times New Roman" w:cs="Times New Roman"/>
                <w:color w:val="auto"/>
                <w:lang w:eastAsia="zh-CN"/>
              </w:rPr>
              <w:t>。</w:t>
            </w:r>
          </w:p>
          <w:p w14:paraId="1475929E">
            <w:pPr>
              <w:widowControl/>
              <w:spacing w:line="240" w:lineRule="atLeast"/>
              <w:ind w:firstLine="420"/>
              <w:jc w:val="left"/>
              <w:rPr>
                <w:rFonts w:hint="eastAsia" w:eastAsiaTheme="minorEastAsia"/>
                <w:bCs/>
                <w:color w:val="auto"/>
                <w:szCs w:val="32"/>
                <w:lang w:eastAsia="zh-CN"/>
              </w:rPr>
            </w:pPr>
            <w:r>
              <w:rPr>
                <w:rFonts w:hint="eastAsia"/>
                <w:color w:val="auto"/>
                <w:lang w:eastAsia="zh-CN"/>
              </w:rPr>
              <w:t>废水执行</w:t>
            </w:r>
            <w:r>
              <w:rPr>
                <w:color w:val="auto"/>
              </w:rPr>
              <w:t>《污水综合排放标准》（GB8978-1996）表4中的三级排放标准</w:t>
            </w:r>
            <w:r>
              <w:rPr>
                <w:rFonts w:hint="eastAsia"/>
                <w:color w:val="auto"/>
                <w:lang w:eastAsia="zh-CN"/>
              </w:rPr>
              <w:t>。</w:t>
            </w:r>
          </w:p>
          <w:p w14:paraId="49FC14D9">
            <w:pPr>
              <w:numPr>
                <w:ilvl w:val="0"/>
                <w:numId w:val="0"/>
              </w:numPr>
              <w:spacing w:line="340" w:lineRule="exact"/>
              <w:ind w:firstLine="420" w:firstLineChars="200"/>
              <w:rPr>
                <w:rFonts w:hint="eastAsia" w:cs="Times New Roman"/>
                <w:color w:val="auto"/>
                <w:lang w:val="en-US" w:eastAsia="zh-CN"/>
              </w:rPr>
            </w:pPr>
            <w:r>
              <w:rPr>
                <w:rFonts w:hint="eastAsia" w:cs="Times New Roman"/>
                <w:color w:val="auto"/>
                <w:lang w:val="en-US" w:eastAsia="zh-CN"/>
              </w:rPr>
              <w:t>（二）大气污染防治</w:t>
            </w:r>
          </w:p>
          <w:p w14:paraId="1B248721">
            <w:pPr>
              <w:numPr>
                <w:ilvl w:val="0"/>
                <w:numId w:val="0"/>
              </w:numPr>
              <w:spacing w:line="340" w:lineRule="exact"/>
              <w:ind w:firstLine="420"/>
              <w:rPr>
                <w:rFonts w:hint="eastAsia" w:ascii="Times New Roman" w:hAnsi="Times New Roman" w:eastAsia="宋体" w:cs="Times New Roman"/>
                <w:color w:val="auto"/>
                <w:lang w:val="en-US" w:eastAsia="zh-CN"/>
              </w:rPr>
            </w:pPr>
            <w:r>
              <w:rPr>
                <w:rFonts w:hint="eastAsia" w:cs="Times New Roman"/>
                <w:color w:val="auto"/>
                <w:lang w:val="en-US" w:eastAsia="zh-CN"/>
              </w:rPr>
              <w:t>施工</w:t>
            </w:r>
            <w:r>
              <w:rPr>
                <w:rFonts w:hint="eastAsia" w:ascii="Times New Roman" w:hAnsi="Times New Roman" w:eastAsia="宋体" w:cs="Times New Roman"/>
                <w:color w:val="auto"/>
                <w:lang w:val="en-US" w:eastAsia="zh-CN"/>
              </w:rPr>
              <w:t>期采取工地周边围挡、物料堆放覆盖、土方开挖湿法作业、施工道路硬化、出入车辆清洗、建筑垃圾车辆密闭运输等扬尘污染防治措施，建筑装饰装修施工现场应当采取封闭、遮盖、喷淋等减少废气、粉尘对环境的污染。使用符合环保编码的非道路移动源机械，减少施工机械废气对环境的影响。</w:t>
            </w:r>
          </w:p>
          <w:p w14:paraId="7EE3A9ED">
            <w:pPr>
              <w:numPr>
                <w:ilvl w:val="0"/>
                <w:numId w:val="0"/>
              </w:numPr>
              <w:spacing w:line="340" w:lineRule="exact"/>
              <w:ind w:firstLine="42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项目运营期间产生实验室废气经通风橱收集后经活性炭吸附装置处理后由专门的风道竖井引至40m高空排放。备用的柴油发电机产生的废气由大楼设计的通风管道竖井引至40m高空排放。</w:t>
            </w:r>
          </w:p>
          <w:p w14:paraId="4E3E8BBF">
            <w:pPr>
              <w:numPr>
                <w:ilvl w:val="0"/>
                <w:numId w:val="0"/>
              </w:numPr>
              <w:spacing w:line="340" w:lineRule="exact"/>
              <w:ind w:firstLine="420" w:firstLineChars="200"/>
              <w:rPr>
                <w:rFonts w:hint="eastAsia" w:ascii="Times New Roman" w:hAnsi="Times New Roman" w:eastAsia="宋体" w:cs="Times New Roman"/>
                <w:color w:val="auto"/>
                <w:lang w:val="en-US" w:eastAsia="zh-CN"/>
              </w:rPr>
            </w:pPr>
            <w:r>
              <w:rPr>
                <w:rFonts w:hint="eastAsia" w:eastAsia="宋体"/>
                <w:color w:val="auto"/>
                <w:lang w:val="en-US" w:eastAsia="zh-CN"/>
              </w:rPr>
              <w:t>废气执行</w:t>
            </w:r>
            <w:r>
              <w:rPr>
                <w:rFonts w:hint="eastAsia" w:ascii="Times New Roman" w:hAnsi="Times New Roman" w:eastAsia="宋体" w:cs="Times New Roman"/>
                <w:color w:val="auto"/>
                <w:lang w:val="en-US" w:eastAsia="zh-CN"/>
              </w:rPr>
              <w:t>《大气污染物综合排放标准》（GB16297-1996）表2中相应的排放限值。</w:t>
            </w:r>
          </w:p>
          <w:p w14:paraId="0A2C255D">
            <w:pPr>
              <w:spacing w:line="3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eastAsia" w:cs="Times New Roman"/>
                <w:color w:val="auto"/>
                <w:lang w:val="en-US" w:eastAsia="zh-CN"/>
              </w:rPr>
              <w:t>三</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噪声</w:t>
            </w:r>
            <w:r>
              <w:rPr>
                <w:rFonts w:hint="eastAsia" w:cs="Times New Roman"/>
                <w:color w:val="auto"/>
                <w:lang w:val="en-US" w:eastAsia="zh-CN"/>
              </w:rPr>
              <w:t>污染防治</w:t>
            </w:r>
          </w:p>
          <w:p w14:paraId="40CA33BE">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施工场界设置2.5m高的围栏，加强管理，合理布局施工设备，合理安排施工计划和施工机械设备组合以及施工时间，禁止在中午(12:00~14:00)和夜间(22:00~6:00)施工，施工场界噪声执行《建筑施工场界环境噪声排放标准》(GB12523-2011)。</w:t>
            </w:r>
          </w:p>
          <w:p w14:paraId="43674936">
            <w:pPr>
              <w:spacing w:line="340" w:lineRule="exact"/>
              <w:ind w:left="0" w:leftChars="0" w:firstLine="420" w:firstLineChars="200"/>
              <w:rPr>
                <w:color w:val="auto"/>
              </w:rPr>
            </w:pPr>
            <w:r>
              <w:rPr>
                <w:rFonts w:hint="eastAsia"/>
                <w:color w:val="auto"/>
                <w:lang w:eastAsia="zh-CN"/>
              </w:rPr>
              <w:t>项目建成后对产生声源的设备（发电机、水泵以及风机等）采取隔音减震措施</w:t>
            </w:r>
            <w:r>
              <w:rPr>
                <w:color w:val="auto"/>
              </w:rPr>
              <w:t>。</w:t>
            </w:r>
            <w:r>
              <w:rPr>
                <w:rFonts w:hint="eastAsia" w:ascii="Times New Roman" w:hAnsi="Times New Roman" w:eastAsia="宋体" w:cs="Times New Roman"/>
                <w:szCs w:val="21"/>
                <w:lang w:val="en-US" w:eastAsia="zh-CN"/>
              </w:rPr>
              <w:t>加强学校进出车辆管理，加强学校周边绿化、建立围墙等隔声设施。</w:t>
            </w:r>
          </w:p>
          <w:p w14:paraId="1B1C34C9">
            <w:pPr>
              <w:spacing w:line="340" w:lineRule="exact"/>
              <w:ind w:left="0" w:leftChars="0" w:firstLine="420" w:firstLineChars="200"/>
              <w:rPr>
                <w:rFonts w:hint="eastAsia" w:eastAsia="宋体"/>
                <w:color w:val="auto"/>
                <w:lang w:val="en-US" w:eastAsia="zh-CN"/>
              </w:rPr>
            </w:pPr>
            <w:r>
              <w:rPr>
                <w:rFonts w:hint="eastAsia"/>
                <w:szCs w:val="21"/>
                <w:highlight w:val="none"/>
              </w:rPr>
              <w:t>噪声执行《工业企业厂界环境噪声排放标准》（GB12348-2008）中的2类标准，</w:t>
            </w:r>
            <w:r>
              <w:rPr>
                <w:rFonts w:hint="eastAsia"/>
                <w:szCs w:val="21"/>
                <w:highlight w:val="none"/>
                <w:lang w:eastAsia="zh-CN"/>
              </w:rPr>
              <w:t>厂界</w:t>
            </w:r>
            <w:r>
              <w:rPr>
                <w:rFonts w:hint="eastAsia"/>
                <w:szCs w:val="21"/>
                <w:highlight w:val="none"/>
              </w:rPr>
              <w:t>西侧</w:t>
            </w:r>
            <w:r>
              <w:rPr>
                <w:rFonts w:hint="eastAsia"/>
                <w:szCs w:val="21"/>
                <w:highlight w:val="none"/>
                <w:lang w:eastAsia="zh-CN"/>
              </w:rPr>
              <w:t>、</w:t>
            </w:r>
            <w:r>
              <w:rPr>
                <w:rFonts w:hint="eastAsia"/>
                <w:szCs w:val="21"/>
                <w:highlight w:val="none"/>
              </w:rPr>
              <w:t>北侧噪声执行《工业企业厂界环境噪声排放标准》（GB12348-2008）中的4类标准</w:t>
            </w:r>
            <w:r>
              <w:rPr>
                <w:rFonts w:hint="eastAsia"/>
                <w:szCs w:val="21"/>
                <w:highlight w:val="none"/>
                <w:lang w:eastAsia="zh-CN"/>
              </w:rPr>
              <w:t>。</w:t>
            </w:r>
          </w:p>
          <w:p w14:paraId="041D34C9">
            <w:pPr>
              <w:spacing w:line="340" w:lineRule="exact"/>
              <w:ind w:firstLine="420" w:firstLineChars="20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eastAsia" w:cs="Times New Roman"/>
                <w:color w:val="auto"/>
                <w:lang w:val="en-US" w:eastAsia="zh-CN"/>
              </w:rPr>
              <w:t>四</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固废</w:t>
            </w:r>
            <w:r>
              <w:rPr>
                <w:rFonts w:hint="eastAsia" w:cs="Times New Roman"/>
                <w:color w:val="auto"/>
                <w:lang w:val="en-US" w:eastAsia="zh-CN"/>
              </w:rPr>
              <w:t>污染防治</w:t>
            </w:r>
          </w:p>
          <w:p w14:paraId="7AA01111">
            <w:pPr>
              <w:widowControl/>
              <w:spacing w:line="240" w:lineRule="atLeast"/>
              <w:ind w:firstLine="420"/>
              <w:jc w:val="left"/>
              <w:rPr>
                <w:rFonts w:hint="eastAsia" w:ascii="Times New Roman" w:hAnsi="Times New Roman" w:eastAsia="宋体" w:cs="宋体"/>
                <w:color w:val="auto"/>
                <w:kern w:val="2"/>
                <w:szCs w:val="24"/>
                <w:lang w:val="en-US" w:eastAsia="zh-CN"/>
              </w:rPr>
            </w:pPr>
            <w:r>
              <w:rPr>
                <w:rFonts w:hint="eastAsia" w:cs="宋体"/>
                <w:color w:val="auto"/>
                <w:kern w:val="2"/>
                <w:szCs w:val="24"/>
                <w:lang w:val="en-US" w:eastAsia="zh-CN"/>
              </w:rPr>
              <w:t>施工产生</w:t>
            </w:r>
            <w:r>
              <w:rPr>
                <w:rFonts w:hint="eastAsia" w:ascii="Times New Roman" w:hAnsi="Times New Roman" w:eastAsia="宋体" w:cs="宋体"/>
                <w:color w:val="auto"/>
                <w:kern w:val="2"/>
                <w:szCs w:val="24"/>
                <w:lang w:val="en-US" w:eastAsia="zh-CN"/>
              </w:rPr>
              <w:t>的建筑垃圾应分类堆放，及时清运。</w:t>
            </w:r>
          </w:p>
          <w:p w14:paraId="60E4D971">
            <w:pPr>
              <w:widowControl/>
              <w:spacing w:line="240" w:lineRule="atLeast"/>
              <w:ind w:firstLine="420"/>
              <w:jc w:val="left"/>
              <w:rPr>
                <w:rFonts w:hint="eastAsia" w:ascii="Times New Roman" w:hAnsi="Times New Roman" w:eastAsia="宋体" w:cs="宋体"/>
                <w:color w:val="auto"/>
                <w:kern w:val="2"/>
                <w:szCs w:val="24"/>
                <w:lang w:val="en-US" w:eastAsia="zh-CN"/>
              </w:rPr>
            </w:pPr>
            <w:r>
              <w:rPr>
                <w:rFonts w:hint="default" w:ascii="Times New Roman" w:hAnsi="Times New Roman" w:eastAsia="宋体" w:cs="宋体"/>
                <w:color w:val="auto"/>
                <w:kern w:val="2"/>
                <w:szCs w:val="24"/>
                <w:lang w:val="en-US" w:eastAsia="zh-CN"/>
              </w:rPr>
              <w:t>项目</w:t>
            </w:r>
            <w:r>
              <w:rPr>
                <w:rFonts w:hint="eastAsia" w:ascii="Times New Roman" w:hAnsi="Times New Roman" w:eastAsia="宋体" w:cs="宋体"/>
                <w:color w:val="auto"/>
                <w:kern w:val="2"/>
                <w:szCs w:val="24"/>
                <w:lang w:val="en-US" w:eastAsia="zh-CN"/>
              </w:rPr>
              <w:t>建成后，化学实验室内应设危废暂存间</w:t>
            </w:r>
            <w:r>
              <w:rPr>
                <w:rFonts w:hint="default" w:ascii="Times New Roman" w:hAnsi="Times New Roman" w:eastAsia="宋体" w:cs="宋体"/>
                <w:color w:val="auto"/>
                <w:kern w:val="2"/>
                <w:szCs w:val="24"/>
                <w:lang w:val="en-US" w:eastAsia="zh-CN"/>
              </w:rPr>
              <w:t>用于危险废物暂存</w:t>
            </w:r>
            <w:r>
              <w:rPr>
                <w:rFonts w:hint="eastAsia" w:ascii="Times New Roman" w:hAnsi="Times New Roman" w:eastAsia="宋体" w:cs="宋体"/>
                <w:color w:val="auto"/>
                <w:kern w:val="2"/>
                <w:szCs w:val="24"/>
                <w:lang w:val="en-US" w:eastAsia="zh-CN"/>
              </w:rPr>
              <w:t>，实验室废液、过期试剂药品、沾染废物、废活性炭等应分类收集，储存于危废间中。委托有危废处理资质的单位回收处置。</w:t>
            </w:r>
          </w:p>
          <w:p w14:paraId="160E13F9">
            <w:pPr>
              <w:widowControl/>
              <w:spacing w:line="240" w:lineRule="atLeast"/>
              <w:ind w:firstLine="420"/>
              <w:jc w:val="left"/>
              <w:rPr>
                <w:rFonts w:hint="eastAsia" w:ascii="Times New Roman" w:hAnsi="Times New Roman" w:eastAsia="宋体" w:cs="宋体"/>
                <w:color w:val="auto"/>
                <w:kern w:val="2"/>
                <w:szCs w:val="24"/>
                <w:lang w:val="en-US" w:eastAsia="zh-CN"/>
              </w:rPr>
            </w:pPr>
            <w:r>
              <w:rPr>
                <w:rFonts w:hint="eastAsia" w:ascii="Times New Roman" w:hAnsi="Times New Roman" w:eastAsia="宋体" w:cs="宋体"/>
                <w:color w:val="auto"/>
                <w:kern w:val="2"/>
                <w:szCs w:val="24"/>
                <w:lang w:val="en-US" w:eastAsia="zh-CN"/>
              </w:rPr>
              <w:t>项目产生的生活垃圾定点堆放，由环卫部门统一清运。</w:t>
            </w:r>
          </w:p>
          <w:p w14:paraId="469FEAF3">
            <w:pPr>
              <w:widowControl/>
              <w:spacing w:line="240" w:lineRule="atLeast"/>
              <w:ind w:firstLine="420"/>
              <w:jc w:val="left"/>
              <w:rPr>
                <w:rFonts w:hint="eastAsia" w:ascii="Times New Roman" w:hAnsi="Times New Roman" w:eastAsia="宋体" w:cs="宋体"/>
                <w:color w:val="auto"/>
                <w:kern w:val="2"/>
                <w:szCs w:val="24"/>
                <w:lang w:val="en-US" w:eastAsia="zh-CN"/>
              </w:rPr>
            </w:pPr>
            <w:r>
              <w:rPr>
                <w:rFonts w:hint="default" w:ascii="Times New Roman" w:hAnsi="Times New Roman" w:eastAsia="宋体" w:cs="宋体"/>
                <w:color w:val="auto"/>
                <w:kern w:val="2"/>
                <w:szCs w:val="24"/>
                <w:lang w:val="en-US" w:eastAsia="zh-CN"/>
              </w:rPr>
              <w:t>危险废物</w:t>
            </w:r>
            <w:r>
              <w:rPr>
                <w:rFonts w:hint="eastAsia" w:ascii="Times New Roman" w:hAnsi="Times New Roman" w:eastAsia="宋体" w:cs="宋体"/>
                <w:color w:val="auto"/>
                <w:kern w:val="2"/>
                <w:szCs w:val="24"/>
                <w:lang w:val="en-US" w:eastAsia="zh-CN"/>
              </w:rPr>
              <w:t>执行</w:t>
            </w:r>
            <w:r>
              <w:rPr>
                <w:rFonts w:hint="default" w:ascii="Times New Roman" w:hAnsi="Times New Roman" w:eastAsia="宋体" w:cs="宋体"/>
                <w:color w:val="auto"/>
                <w:kern w:val="2"/>
                <w:szCs w:val="24"/>
                <w:lang w:val="en-US" w:eastAsia="zh-CN"/>
              </w:rPr>
              <w:t>《危险废物贮存污染控制标准》（GB18597-2023）、《危险废物收集贮存运输技术规范》（HJ2025-2012）</w:t>
            </w:r>
            <w:r>
              <w:rPr>
                <w:rFonts w:hint="eastAsia" w:ascii="Times New Roman" w:hAnsi="Times New Roman" w:eastAsia="宋体" w:cs="宋体"/>
                <w:color w:val="auto"/>
                <w:kern w:val="2"/>
                <w:szCs w:val="24"/>
                <w:lang w:val="en-US" w:eastAsia="zh-CN"/>
              </w:rPr>
              <w:t>。</w:t>
            </w:r>
          </w:p>
          <w:p w14:paraId="3F2213D4">
            <w:pPr>
              <w:widowControl/>
              <w:numPr>
                <w:ilvl w:val="0"/>
                <w:numId w:val="1"/>
              </w:numPr>
              <w:spacing w:line="240" w:lineRule="atLeast"/>
              <w:ind w:firstLine="420"/>
              <w:jc w:val="left"/>
              <w:rPr>
                <w:rFonts w:hint="eastAsia" w:ascii="Times New Roman" w:hAnsi="Times New Roman" w:eastAsia="宋体" w:cs="宋体"/>
                <w:color w:val="auto"/>
                <w:kern w:val="2"/>
                <w:szCs w:val="24"/>
                <w:lang w:val="en-US" w:eastAsia="zh-CN"/>
              </w:rPr>
            </w:pPr>
            <w:r>
              <w:rPr>
                <w:rFonts w:hint="eastAsia" w:ascii="Times New Roman" w:hAnsi="Times New Roman" w:eastAsia="宋体" w:cs="宋体"/>
                <w:color w:val="auto"/>
                <w:kern w:val="2"/>
                <w:szCs w:val="24"/>
                <w:lang w:val="en-US" w:eastAsia="zh-CN"/>
              </w:rPr>
              <w:t>环境风险防范。</w:t>
            </w:r>
          </w:p>
          <w:p w14:paraId="270C0D1C">
            <w:pPr>
              <w:widowControl/>
              <w:numPr>
                <w:ilvl w:val="0"/>
                <w:numId w:val="0"/>
              </w:numPr>
              <w:spacing w:line="240" w:lineRule="atLeast"/>
              <w:ind w:firstLine="420" w:firstLineChars="200"/>
              <w:jc w:val="left"/>
              <w:rPr>
                <w:rFonts w:hint="eastAsia" w:ascii="Times New Roman" w:hAnsi="Times New Roman" w:eastAsia="宋体" w:cs="宋体"/>
                <w:color w:val="auto"/>
                <w:kern w:val="2"/>
                <w:szCs w:val="24"/>
                <w:lang w:val="en-US" w:eastAsia="zh-CN"/>
              </w:rPr>
            </w:pPr>
            <w:r>
              <w:rPr>
                <w:rFonts w:hint="eastAsia" w:ascii="Times New Roman" w:hAnsi="Times New Roman" w:eastAsia="宋体" w:cs="宋体"/>
                <w:color w:val="auto"/>
                <w:kern w:val="2"/>
                <w:szCs w:val="24"/>
                <w:lang w:val="en-US" w:eastAsia="zh-CN"/>
              </w:rPr>
              <w:t>强化环境风险管理，落实环境风险防范措施。建立制订实验室安全和风险防范规程，配备必要的防范设施，制定环境风险应急预案，避免发生环境污染事故。</w:t>
            </w:r>
          </w:p>
          <w:p w14:paraId="76B40CE4">
            <w:pPr>
              <w:widowControl/>
              <w:numPr>
                <w:ilvl w:val="0"/>
                <w:numId w:val="2"/>
              </w:numPr>
              <w:spacing w:line="240" w:lineRule="atLeast"/>
              <w:ind w:firstLine="420" w:firstLineChars="200"/>
              <w:jc w:val="left"/>
              <w:rPr>
                <w:rFonts w:hint="eastAsia" w:ascii="Times New Roman" w:hAnsi="Times New Roman" w:eastAsia="宋体" w:cs="宋体"/>
                <w:color w:val="auto"/>
                <w:kern w:val="2"/>
                <w:szCs w:val="24"/>
                <w:lang w:val="en-US" w:eastAsia="zh-CN"/>
              </w:rPr>
            </w:pPr>
            <w:r>
              <w:rPr>
                <w:rFonts w:hint="eastAsia" w:ascii="Times New Roman" w:hAnsi="Times New Roman" w:eastAsia="宋体" w:cs="宋体"/>
                <w:color w:val="auto"/>
                <w:kern w:val="2"/>
                <w:szCs w:val="24"/>
                <w:lang w:val="en-US" w:eastAsia="zh-CN"/>
              </w:rPr>
              <w:t>总量控制</w:t>
            </w:r>
          </w:p>
          <w:p w14:paraId="11244928">
            <w:pPr>
              <w:widowControl/>
              <w:numPr>
                <w:ilvl w:val="0"/>
                <w:numId w:val="0"/>
              </w:numPr>
              <w:spacing w:line="240" w:lineRule="atLeast"/>
              <w:ind w:firstLine="420"/>
              <w:jc w:val="left"/>
              <w:rPr>
                <w:rFonts w:hint="eastAsia" w:ascii="Times New Roman" w:hAnsi="Times New Roman" w:eastAsia="宋体" w:cs="宋体"/>
                <w:color w:val="auto"/>
                <w:kern w:val="2"/>
                <w:szCs w:val="24"/>
                <w:lang w:val="en-US" w:eastAsia="zh-CN"/>
              </w:rPr>
            </w:pPr>
            <w:r>
              <w:rPr>
                <w:rFonts w:hint="eastAsia" w:ascii="Times New Roman" w:hAnsi="Times New Roman" w:eastAsia="宋体" w:cs="宋体"/>
                <w:color w:val="auto"/>
                <w:kern w:val="2"/>
                <w:szCs w:val="24"/>
                <w:lang w:val="en-US" w:eastAsia="zh-CN"/>
              </w:rPr>
              <w:t>本项目项目建成后允许排放污水总量为6916.418t/a，</w:t>
            </w:r>
            <w:r>
              <w:rPr>
                <w:rFonts w:hint="eastAsia" w:cs="宋体"/>
                <w:color w:val="auto"/>
                <w:kern w:val="2"/>
                <w:szCs w:val="24"/>
                <w:lang w:val="en-US" w:eastAsia="zh-CN"/>
              </w:rPr>
              <w:t>项目建成后</w:t>
            </w:r>
            <w:r>
              <w:rPr>
                <w:rFonts w:hint="eastAsia" w:ascii="Times New Roman" w:hAnsi="Times New Roman" w:eastAsia="宋体" w:cs="宋体"/>
                <w:color w:val="auto"/>
                <w:kern w:val="2"/>
                <w:szCs w:val="24"/>
                <w:lang w:val="en-US" w:eastAsia="zh-CN"/>
              </w:rPr>
              <w:t>整个学校的污水排放总量为60535.514t/a。</w:t>
            </w:r>
          </w:p>
          <w:p w14:paraId="5DAA52DE">
            <w:pPr>
              <w:widowControl/>
              <w:numPr>
                <w:ilvl w:val="0"/>
                <w:numId w:val="0"/>
              </w:numPr>
              <w:spacing w:line="240" w:lineRule="atLeast"/>
              <w:ind w:firstLine="420"/>
              <w:jc w:val="left"/>
              <w:rPr>
                <w:rFonts w:hint="default" w:ascii="Times New Roman" w:hAnsi="Times New Roman" w:eastAsia="宋体" w:cs="宋体"/>
                <w:color w:val="auto"/>
                <w:kern w:val="2"/>
                <w:szCs w:val="24"/>
                <w:lang w:val="en-US" w:eastAsia="zh-CN"/>
              </w:rPr>
            </w:pPr>
            <w:r>
              <w:rPr>
                <w:rFonts w:hint="default" w:ascii="Times New Roman" w:hAnsi="Times New Roman" w:eastAsia="宋体" w:cs="宋体"/>
                <w:color w:val="auto"/>
                <w:kern w:val="2"/>
                <w:szCs w:val="24"/>
                <w:lang w:val="en-US" w:eastAsia="zh-CN"/>
              </w:rPr>
              <w:t>本项目VOCs(以非甲烷总烃表征)的排放总量为：0.0027t/a</w:t>
            </w:r>
            <w:r>
              <w:rPr>
                <w:rFonts w:hint="eastAsia" w:ascii="Times New Roman" w:hAnsi="Times New Roman" w:eastAsia="宋体" w:cs="宋体"/>
                <w:color w:val="auto"/>
                <w:kern w:val="2"/>
                <w:szCs w:val="24"/>
                <w:lang w:val="en-US" w:eastAsia="zh-CN"/>
              </w:rPr>
              <w:t>，</w:t>
            </w:r>
            <w:r>
              <w:rPr>
                <w:rFonts w:hint="default" w:ascii="Times New Roman" w:hAnsi="Times New Roman" w:eastAsia="宋体" w:cs="宋体"/>
                <w:color w:val="auto"/>
                <w:kern w:val="2"/>
                <w:szCs w:val="24"/>
                <w:lang w:val="en-US" w:eastAsia="zh-CN"/>
              </w:rPr>
              <w:t>实行区域内1.2倍倍量替代，VOCs替代量为0.0027t/a</w:t>
            </w:r>
            <w:r>
              <w:rPr>
                <w:rFonts w:hint="eastAsia" w:ascii="Times New Roman" w:hAnsi="Times New Roman" w:eastAsia="宋体" w:cs="宋体"/>
                <w:color w:val="auto"/>
                <w:kern w:val="2"/>
                <w:szCs w:val="24"/>
                <w:lang w:val="en-US" w:eastAsia="zh-CN"/>
              </w:rPr>
              <w:t>*1.2=</w:t>
            </w:r>
            <w:r>
              <w:rPr>
                <w:rFonts w:hint="default" w:ascii="Times New Roman" w:hAnsi="Times New Roman" w:eastAsia="宋体" w:cs="宋体"/>
                <w:color w:val="auto"/>
                <w:kern w:val="2"/>
                <w:szCs w:val="24"/>
                <w:lang w:val="en-US" w:eastAsia="zh-CN"/>
              </w:rPr>
              <w:t>0.00324t/a。中石化森美（福建）石油有限公司福州工业路加油站于2023年12月安装了三次油气回收装置，VOCs(以非甲烷总烃计)排放总量减少了0.1429t/a。因此，本项目VOCs排放量可从榕台环评〔2023〕2号批复的中石化森美（福建）石油有限公司工业路加油站排放的VOCs(以非甲烷总烃计)中调剂。</w:t>
            </w:r>
          </w:p>
          <w:p w14:paraId="784E85EF">
            <w:pPr>
              <w:widowControl/>
              <w:numPr>
                <w:ilvl w:val="0"/>
                <w:numId w:val="0"/>
              </w:numPr>
              <w:spacing w:line="240" w:lineRule="atLeast"/>
              <w:ind w:firstLine="420" w:firstLineChars="200"/>
              <w:jc w:val="left"/>
              <w:rPr>
                <w:rFonts w:hint="default" w:ascii="Times New Roman" w:hAnsi="Times New Roman" w:eastAsia="宋体" w:cs="Times New Roman"/>
                <w:color w:val="auto"/>
                <w:lang w:val="en-US" w:eastAsia="zh-CN"/>
              </w:rPr>
            </w:pPr>
            <w:r>
              <w:rPr>
                <w:rFonts w:hint="eastAsia" w:cs="Times New Roman"/>
                <w:color w:val="auto"/>
                <w:lang w:val="en-US" w:eastAsia="zh-CN"/>
              </w:rPr>
              <w:t>四、</w:t>
            </w:r>
            <w:r>
              <w:rPr>
                <w:rFonts w:hint="default" w:ascii="Times New Roman" w:hAnsi="Times New Roman" w:eastAsia="宋体" w:cs="Times New Roman"/>
                <w:color w:val="auto"/>
                <w:lang w:val="en-US" w:eastAsia="zh-CN"/>
              </w:rPr>
              <w:t>建设单位</w:t>
            </w:r>
            <w:r>
              <w:rPr>
                <w:rFonts w:hint="eastAsia"/>
                <w:color w:val="auto"/>
                <w:lang w:val="en-US" w:eastAsia="zh-CN"/>
              </w:rPr>
              <w:t>应严格落实生态环境保护主体责任，建立生态环境管理制度。项目建设</w:t>
            </w:r>
            <w:r>
              <w:rPr>
                <w:rFonts w:hint="eastAsia" w:ascii="Times New Roman" w:hAnsi="Times New Roman" w:eastAsia="宋体" w:cs="Times New Roman"/>
                <w:color w:val="auto"/>
                <w:lang w:val="en-US" w:eastAsia="zh-CN"/>
              </w:rPr>
              <w:t>应</w:t>
            </w:r>
            <w:r>
              <w:rPr>
                <w:rFonts w:hint="default" w:ascii="Times New Roman" w:hAnsi="Times New Roman" w:eastAsia="宋体" w:cs="Times New Roman"/>
                <w:color w:val="auto"/>
                <w:lang w:val="en-US" w:eastAsia="zh-CN"/>
              </w:rPr>
              <w:t>严格落实环保“三同时”制度，认真落实</w:t>
            </w:r>
            <w:r>
              <w:rPr>
                <w:rFonts w:hint="eastAsia" w:cs="Times New Roman"/>
                <w:color w:val="auto"/>
                <w:lang w:val="en-US" w:eastAsia="zh-CN"/>
              </w:rPr>
              <w:t>《</w:t>
            </w:r>
            <w:r>
              <w:rPr>
                <w:rFonts w:hint="default" w:ascii="Times New Roman" w:hAnsi="Times New Roman" w:eastAsia="宋体" w:cs="Times New Roman"/>
                <w:color w:val="auto"/>
                <w:lang w:val="en-US" w:eastAsia="zh-CN"/>
              </w:rPr>
              <w:t>报告表</w:t>
            </w:r>
            <w:r>
              <w:rPr>
                <w:rFonts w:hint="eastAsia" w:cs="Times New Roman"/>
                <w:color w:val="auto"/>
                <w:lang w:val="en-US" w:eastAsia="zh-CN"/>
              </w:rPr>
              <w:t>》</w:t>
            </w:r>
            <w:r>
              <w:rPr>
                <w:rFonts w:hint="default" w:ascii="Times New Roman" w:hAnsi="Times New Roman" w:eastAsia="宋体" w:cs="Times New Roman"/>
                <w:color w:val="auto"/>
                <w:lang w:val="en-US" w:eastAsia="zh-CN"/>
              </w:rPr>
              <w:t>提出的各项环保对策措施，加强环境管理与监测，</w:t>
            </w:r>
            <w:r>
              <w:rPr>
                <w:rFonts w:hint="eastAsia" w:ascii="Times New Roman" w:hAnsi="Times New Roman" w:eastAsia="宋体" w:cs="Times New Roman"/>
                <w:color w:val="auto"/>
                <w:lang w:val="en-US" w:eastAsia="zh-CN"/>
              </w:rPr>
              <w:t>项目竣工后，应按规定</w:t>
            </w:r>
            <w:r>
              <w:rPr>
                <w:rFonts w:hint="eastAsia" w:cs="Times New Roman"/>
                <w:color w:val="auto"/>
                <w:lang w:val="en-US" w:eastAsia="zh-CN"/>
              </w:rPr>
              <w:t>自主开展</w:t>
            </w:r>
            <w:r>
              <w:rPr>
                <w:rFonts w:hint="eastAsia" w:ascii="Times New Roman" w:hAnsi="Times New Roman" w:eastAsia="宋体" w:cs="Times New Roman"/>
                <w:color w:val="auto"/>
                <w:lang w:val="en-US" w:eastAsia="zh-CN"/>
              </w:rPr>
              <w:t>竣工环保验收。</w:t>
            </w:r>
          </w:p>
          <w:p w14:paraId="7AF84BD5">
            <w:pPr>
              <w:widowControl/>
              <w:numPr>
                <w:ilvl w:val="0"/>
                <w:numId w:val="0"/>
              </w:numPr>
              <w:spacing w:line="240" w:lineRule="atLeast"/>
              <w:ind w:firstLine="420" w:firstLineChars="200"/>
              <w:jc w:val="left"/>
              <w:rPr>
                <w:rFonts w:hint="eastAsia" w:ascii="Times New Roman" w:hAnsi="Times New Roman" w:eastAsia="宋体" w:cs="Times New Roman"/>
                <w:color w:val="auto"/>
                <w:lang w:val="en-US" w:eastAsia="zh-CN"/>
              </w:rPr>
            </w:pPr>
            <w:r>
              <w:rPr>
                <w:rFonts w:hint="eastAsia" w:cs="Times New Roman"/>
                <w:color w:val="auto"/>
                <w:lang w:val="en-US" w:eastAsia="zh-CN"/>
              </w:rPr>
              <w:t>五、</w:t>
            </w:r>
            <w:r>
              <w:rPr>
                <w:rFonts w:hint="eastAsia" w:ascii="Times New Roman" w:hAnsi="Times New Roman" w:eastAsia="宋体" w:cs="Times New Roman"/>
                <w:color w:val="auto"/>
                <w:lang w:val="en-US" w:eastAsia="zh-CN"/>
              </w:rPr>
              <w:t>我局委托福州市台江生态环境保护综合执法大队开展项目环保“三同时”监督监察</w:t>
            </w:r>
            <w:r>
              <w:rPr>
                <w:rFonts w:hint="eastAsia" w:eastAsia="宋体" w:cs="Times New Roman"/>
                <w:color w:val="auto"/>
                <w:lang w:val="en-US" w:eastAsia="zh-CN"/>
              </w:rPr>
              <w:t>、</w:t>
            </w:r>
            <w:r>
              <w:rPr>
                <w:rFonts w:hint="eastAsia" w:ascii="Times New Roman" w:hAnsi="Times New Roman" w:eastAsia="宋体" w:cs="Times New Roman"/>
                <w:color w:val="auto"/>
                <w:lang w:val="en-US" w:eastAsia="zh-CN"/>
              </w:rPr>
              <w:t>日常环保监督管理及负责督促</w:t>
            </w:r>
            <w:r>
              <w:rPr>
                <w:szCs w:val="21"/>
              </w:rPr>
              <w:t>福州华侨中学体艺综合楼</w:t>
            </w:r>
            <w:r>
              <w:rPr>
                <w:rFonts w:hint="eastAsia" w:ascii="宋体" w:hAnsi="宋体" w:eastAsia="宋体" w:cs="宋体"/>
                <w:color w:val="auto"/>
                <w:kern w:val="0"/>
                <w:szCs w:val="21"/>
                <w:lang w:eastAsia="zh-CN"/>
              </w:rPr>
              <w:t>项目</w:t>
            </w:r>
            <w:r>
              <w:rPr>
                <w:rFonts w:hint="eastAsia" w:eastAsia="宋体" w:cs="Times New Roman"/>
                <w:color w:val="auto"/>
                <w:lang w:val="en-US" w:eastAsia="zh-CN"/>
              </w:rPr>
              <w:t>的</w:t>
            </w:r>
            <w:r>
              <w:rPr>
                <w:rFonts w:hint="eastAsia" w:ascii="Times New Roman" w:hAnsi="Times New Roman" w:eastAsia="宋体" w:cs="Times New Roman"/>
                <w:color w:val="auto"/>
                <w:lang w:val="en-US" w:eastAsia="zh-CN"/>
              </w:rPr>
              <w:t xml:space="preserve">竣工环保验收工作。    </w:t>
            </w:r>
          </w:p>
          <w:p w14:paraId="6975908D">
            <w:pPr>
              <w:spacing w:line="340" w:lineRule="exact"/>
              <w:ind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经办人: </w:t>
            </w:r>
            <w:r>
              <w:rPr>
                <w:rFonts w:hint="eastAsia" w:ascii="Times New Roman" w:hAnsi="Times New Roman" w:eastAsia="宋体" w:cs="Times New Roman"/>
                <w:color w:val="auto"/>
                <w:lang w:val="en-US" w:eastAsia="zh-CN"/>
              </w:rPr>
              <w:t xml:space="preserve">                                                       </w:t>
            </w:r>
          </w:p>
          <w:p w14:paraId="1DAECA57">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p>
          <w:p w14:paraId="08EBE970">
            <w:pPr>
              <w:spacing w:line="340" w:lineRule="exact"/>
              <w:ind w:firstLine="420" w:firstLineChars="20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                   </w:t>
            </w:r>
            <w:r>
              <w:rPr>
                <w:rFonts w:hint="eastAsia" w:eastAsia="宋体" w:cs="Times New Roman"/>
                <w:color w:val="auto"/>
                <w:lang w:val="en-US" w:eastAsia="zh-CN"/>
              </w:rPr>
              <w:t xml:space="preserve">                                         </w:t>
            </w:r>
            <w:r>
              <w:rPr>
                <w:rFonts w:hint="eastAsia" w:ascii="Times New Roman" w:hAnsi="Times New Roman" w:eastAsia="宋体" w:cs="Times New Roman"/>
                <w:color w:val="auto"/>
                <w:lang w:val="en-US" w:eastAsia="zh-CN"/>
              </w:rPr>
              <w:t>福州市生态环境局</w:t>
            </w:r>
          </w:p>
          <w:p w14:paraId="5A0DFC2C">
            <w:pPr>
              <w:spacing w:line="340" w:lineRule="exact"/>
              <w:ind w:firstLine="420" w:firstLineChars="200"/>
              <w:rPr>
                <w:rFonts w:hint="eastAsia" w:ascii="Times New Roman" w:hAnsi="Times New Roman" w:cs="Times New Roman" w:eastAsiaTheme="minorEastAsia"/>
                <w:color w:val="auto"/>
                <w:kern w:val="0"/>
                <w:szCs w:val="21"/>
                <w:lang w:val="en-US" w:eastAsia="zh-CN"/>
              </w:rPr>
            </w:pPr>
            <w:r>
              <w:rPr>
                <w:rFonts w:hint="eastAsia" w:ascii="Times New Roman" w:hAnsi="Times New Roman" w:eastAsia="宋体" w:cs="Times New Roman"/>
                <w:color w:val="auto"/>
                <w:lang w:val="en-US" w:eastAsia="zh-CN"/>
              </w:rPr>
              <w:t xml:space="preserve">                                                            </w:t>
            </w:r>
            <w:r>
              <w:rPr>
                <w:rFonts w:hint="eastAsia" w:cs="Times New Roman"/>
                <w:color w:val="auto"/>
                <w:lang w:val="en-US" w:eastAsia="zh-CN"/>
              </w:rPr>
              <w:t xml:space="preserve"> </w:t>
            </w:r>
            <w:r>
              <w:rPr>
                <w:rFonts w:hint="eastAsia" w:ascii="Times New Roman" w:hAnsi="Times New Roman" w:eastAsia="宋体" w:cs="Times New Roman"/>
                <w:color w:val="auto"/>
                <w:lang w:val="en-US" w:eastAsia="zh-CN"/>
              </w:rPr>
              <w:t>202</w:t>
            </w:r>
            <w:r>
              <w:rPr>
                <w:rFonts w:hint="eastAsia" w:cs="Times New Roman"/>
                <w:color w:val="auto"/>
                <w:lang w:val="en-US" w:eastAsia="zh-CN"/>
              </w:rPr>
              <w:t>5</w:t>
            </w:r>
            <w:r>
              <w:rPr>
                <w:rFonts w:hint="eastAsia" w:ascii="Times New Roman" w:hAnsi="Times New Roman" w:eastAsia="宋体" w:cs="Times New Roman"/>
                <w:color w:val="auto"/>
                <w:lang w:val="en-US" w:eastAsia="zh-CN"/>
              </w:rPr>
              <w:t>年</w:t>
            </w:r>
            <w:r>
              <w:rPr>
                <w:rFonts w:hint="eastAsia" w:cs="Times New Roman"/>
                <w:color w:val="auto"/>
                <w:lang w:val="en-US" w:eastAsia="zh-CN"/>
              </w:rPr>
              <w:t>1</w:t>
            </w:r>
            <w:r>
              <w:rPr>
                <w:rFonts w:hint="eastAsia" w:ascii="Times New Roman" w:hAnsi="Times New Roman" w:eastAsia="宋体" w:cs="Times New Roman"/>
                <w:color w:val="auto"/>
                <w:lang w:val="en-US" w:eastAsia="zh-CN"/>
              </w:rPr>
              <w:t>月</w:t>
            </w:r>
            <w:r>
              <w:rPr>
                <w:rFonts w:hint="eastAsia" w:cs="Times New Roman"/>
                <w:color w:val="auto"/>
                <w:lang w:val="en-US" w:eastAsia="zh-CN"/>
              </w:rPr>
              <w:t>17</w:t>
            </w:r>
            <w:r>
              <w:rPr>
                <w:rFonts w:hint="eastAsia" w:ascii="Times New Roman" w:hAnsi="Times New Roman" w:eastAsia="宋体" w:cs="Times New Roman"/>
                <w:lang w:val="en-US" w:eastAsia="zh-CN"/>
              </w:rPr>
              <w:t>日</w:t>
            </w:r>
          </w:p>
        </w:tc>
      </w:tr>
    </w:tbl>
    <w:p w14:paraId="5DE26D5A"/>
    <w:sectPr>
      <w:pgSz w:w="11906" w:h="16838"/>
      <w:pgMar w:top="567" w:right="1757" w:bottom="56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0AEE6"/>
    <w:multiLevelType w:val="singleLevel"/>
    <w:tmpl w:val="71E0AEE6"/>
    <w:lvl w:ilvl="0" w:tentative="0">
      <w:start w:val="5"/>
      <w:numFmt w:val="chineseCounting"/>
      <w:suff w:val="nothing"/>
      <w:lvlText w:val="（%1）"/>
      <w:lvlJc w:val="left"/>
      <w:rPr>
        <w:rFonts w:hint="eastAsia"/>
      </w:rPr>
    </w:lvl>
  </w:abstractNum>
  <w:abstractNum w:abstractNumId="1">
    <w:nsid w:val="75C6F5D3"/>
    <w:multiLevelType w:val="singleLevel"/>
    <w:tmpl w:val="75C6F5D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jEyMWVmMTRkMzFlOWVmZWU1NTRhOTllODM1YjAifQ=="/>
  </w:docVars>
  <w:rsids>
    <w:rsidRoot w:val="002F0253"/>
    <w:rsid w:val="00000F1B"/>
    <w:rsid w:val="00027900"/>
    <w:rsid w:val="00040802"/>
    <w:rsid w:val="00056B19"/>
    <w:rsid w:val="00060B0F"/>
    <w:rsid w:val="000822E5"/>
    <w:rsid w:val="00084B57"/>
    <w:rsid w:val="000A4F9D"/>
    <w:rsid w:val="000E3A05"/>
    <w:rsid w:val="000E6217"/>
    <w:rsid w:val="001116E3"/>
    <w:rsid w:val="00112EEF"/>
    <w:rsid w:val="00116771"/>
    <w:rsid w:val="00127CF7"/>
    <w:rsid w:val="00135638"/>
    <w:rsid w:val="00183C03"/>
    <w:rsid w:val="0018662E"/>
    <w:rsid w:val="001B1F54"/>
    <w:rsid w:val="001E1BB0"/>
    <w:rsid w:val="001F6A01"/>
    <w:rsid w:val="00202671"/>
    <w:rsid w:val="002545A3"/>
    <w:rsid w:val="0028478D"/>
    <w:rsid w:val="00286BBE"/>
    <w:rsid w:val="00287E08"/>
    <w:rsid w:val="002914D1"/>
    <w:rsid w:val="002A4F8A"/>
    <w:rsid w:val="002D279D"/>
    <w:rsid w:val="002E3E43"/>
    <w:rsid w:val="002F0253"/>
    <w:rsid w:val="00307DDD"/>
    <w:rsid w:val="00374D27"/>
    <w:rsid w:val="003B0E8C"/>
    <w:rsid w:val="003B3C8B"/>
    <w:rsid w:val="003E2FAB"/>
    <w:rsid w:val="00404652"/>
    <w:rsid w:val="004350A2"/>
    <w:rsid w:val="00465327"/>
    <w:rsid w:val="00481832"/>
    <w:rsid w:val="00487A0E"/>
    <w:rsid w:val="004C0829"/>
    <w:rsid w:val="004D4956"/>
    <w:rsid w:val="00517E3C"/>
    <w:rsid w:val="005223CA"/>
    <w:rsid w:val="00531CB3"/>
    <w:rsid w:val="005463DC"/>
    <w:rsid w:val="00554353"/>
    <w:rsid w:val="00556226"/>
    <w:rsid w:val="005769C3"/>
    <w:rsid w:val="005A3870"/>
    <w:rsid w:val="005C0066"/>
    <w:rsid w:val="005D451E"/>
    <w:rsid w:val="005E4C3C"/>
    <w:rsid w:val="006454BB"/>
    <w:rsid w:val="00656E24"/>
    <w:rsid w:val="006E4402"/>
    <w:rsid w:val="006F3ED5"/>
    <w:rsid w:val="00704E36"/>
    <w:rsid w:val="00777100"/>
    <w:rsid w:val="00777FBD"/>
    <w:rsid w:val="00783107"/>
    <w:rsid w:val="007912BA"/>
    <w:rsid w:val="007A5317"/>
    <w:rsid w:val="007B22D3"/>
    <w:rsid w:val="007C1411"/>
    <w:rsid w:val="007C1430"/>
    <w:rsid w:val="007C1902"/>
    <w:rsid w:val="007C7A35"/>
    <w:rsid w:val="007F1B5A"/>
    <w:rsid w:val="00816ECF"/>
    <w:rsid w:val="00840AE9"/>
    <w:rsid w:val="00850B33"/>
    <w:rsid w:val="00863B58"/>
    <w:rsid w:val="00894996"/>
    <w:rsid w:val="008C451A"/>
    <w:rsid w:val="008C532C"/>
    <w:rsid w:val="008D022A"/>
    <w:rsid w:val="008E5015"/>
    <w:rsid w:val="008F5B5B"/>
    <w:rsid w:val="0092135D"/>
    <w:rsid w:val="00921439"/>
    <w:rsid w:val="00932133"/>
    <w:rsid w:val="009404DF"/>
    <w:rsid w:val="0094364D"/>
    <w:rsid w:val="009B4650"/>
    <w:rsid w:val="009E1327"/>
    <w:rsid w:val="00A46F9B"/>
    <w:rsid w:val="00A673A7"/>
    <w:rsid w:val="00A72BB6"/>
    <w:rsid w:val="00AD4BB2"/>
    <w:rsid w:val="00AE2824"/>
    <w:rsid w:val="00B3396C"/>
    <w:rsid w:val="00B42CA2"/>
    <w:rsid w:val="00B7188C"/>
    <w:rsid w:val="00BD0546"/>
    <w:rsid w:val="00BE5DF9"/>
    <w:rsid w:val="00C063A1"/>
    <w:rsid w:val="00C2593A"/>
    <w:rsid w:val="00C3174B"/>
    <w:rsid w:val="00C34B7A"/>
    <w:rsid w:val="00C36599"/>
    <w:rsid w:val="00C41158"/>
    <w:rsid w:val="00D26826"/>
    <w:rsid w:val="00D32031"/>
    <w:rsid w:val="00D42EDE"/>
    <w:rsid w:val="00D43C2B"/>
    <w:rsid w:val="00D502EC"/>
    <w:rsid w:val="00D57B9B"/>
    <w:rsid w:val="00D94BA2"/>
    <w:rsid w:val="00DF6E20"/>
    <w:rsid w:val="00E00DF2"/>
    <w:rsid w:val="00E25C4A"/>
    <w:rsid w:val="00E56C8B"/>
    <w:rsid w:val="00E933D0"/>
    <w:rsid w:val="00E969EA"/>
    <w:rsid w:val="00E96D5E"/>
    <w:rsid w:val="00EB3751"/>
    <w:rsid w:val="00EE2A0E"/>
    <w:rsid w:val="00EE7301"/>
    <w:rsid w:val="00F03E62"/>
    <w:rsid w:val="00F70735"/>
    <w:rsid w:val="00F73B0F"/>
    <w:rsid w:val="00FA2BA3"/>
    <w:rsid w:val="00FC3CF3"/>
    <w:rsid w:val="01E274B5"/>
    <w:rsid w:val="024C0DD3"/>
    <w:rsid w:val="03F73BAF"/>
    <w:rsid w:val="041B3BAA"/>
    <w:rsid w:val="04405112"/>
    <w:rsid w:val="050E4732"/>
    <w:rsid w:val="05257DE5"/>
    <w:rsid w:val="06631998"/>
    <w:rsid w:val="08F42CA5"/>
    <w:rsid w:val="0AE47146"/>
    <w:rsid w:val="0C347C19"/>
    <w:rsid w:val="0E63372C"/>
    <w:rsid w:val="0F131F4D"/>
    <w:rsid w:val="118434AB"/>
    <w:rsid w:val="124F10E5"/>
    <w:rsid w:val="147F4BBF"/>
    <w:rsid w:val="150C68CB"/>
    <w:rsid w:val="16104E59"/>
    <w:rsid w:val="161407B6"/>
    <w:rsid w:val="18473978"/>
    <w:rsid w:val="18F733EE"/>
    <w:rsid w:val="1915022F"/>
    <w:rsid w:val="198A5EC7"/>
    <w:rsid w:val="1AF91B00"/>
    <w:rsid w:val="1B5D1E74"/>
    <w:rsid w:val="1C486990"/>
    <w:rsid w:val="1C8D4327"/>
    <w:rsid w:val="1D2624F4"/>
    <w:rsid w:val="1DD173D9"/>
    <w:rsid w:val="1E0765F0"/>
    <w:rsid w:val="1F562CD8"/>
    <w:rsid w:val="20A7394C"/>
    <w:rsid w:val="250B2A77"/>
    <w:rsid w:val="251E1509"/>
    <w:rsid w:val="254A2079"/>
    <w:rsid w:val="27844BB0"/>
    <w:rsid w:val="2A1E075D"/>
    <w:rsid w:val="2A2A7127"/>
    <w:rsid w:val="2B1449BC"/>
    <w:rsid w:val="2BFC0FF0"/>
    <w:rsid w:val="2C747E8E"/>
    <w:rsid w:val="2C7911D6"/>
    <w:rsid w:val="2EA15E7F"/>
    <w:rsid w:val="2F355876"/>
    <w:rsid w:val="2F834982"/>
    <w:rsid w:val="2FCA747D"/>
    <w:rsid w:val="31AF2660"/>
    <w:rsid w:val="32E12CEE"/>
    <w:rsid w:val="33780CF4"/>
    <w:rsid w:val="33C11460"/>
    <w:rsid w:val="357E7DB1"/>
    <w:rsid w:val="35B50461"/>
    <w:rsid w:val="36EB6276"/>
    <w:rsid w:val="38EB604F"/>
    <w:rsid w:val="3A656998"/>
    <w:rsid w:val="3AA01AB2"/>
    <w:rsid w:val="3BF122DD"/>
    <w:rsid w:val="3FD75D85"/>
    <w:rsid w:val="402D5EDA"/>
    <w:rsid w:val="405A40DF"/>
    <w:rsid w:val="40D70CC1"/>
    <w:rsid w:val="41195D48"/>
    <w:rsid w:val="41BB286D"/>
    <w:rsid w:val="4253255E"/>
    <w:rsid w:val="43525542"/>
    <w:rsid w:val="443A3632"/>
    <w:rsid w:val="46D540D8"/>
    <w:rsid w:val="4A897868"/>
    <w:rsid w:val="4E2E0EA5"/>
    <w:rsid w:val="4E4A7E00"/>
    <w:rsid w:val="4F372BB7"/>
    <w:rsid w:val="51D81308"/>
    <w:rsid w:val="54F812BC"/>
    <w:rsid w:val="559C6BD9"/>
    <w:rsid w:val="55A41C2D"/>
    <w:rsid w:val="574C11EA"/>
    <w:rsid w:val="59D253EF"/>
    <w:rsid w:val="5D484259"/>
    <w:rsid w:val="5D802B99"/>
    <w:rsid w:val="5E7F3237"/>
    <w:rsid w:val="5FD7A097"/>
    <w:rsid w:val="63577E11"/>
    <w:rsid w:val="64524F4A"/>
    <w:rsid w:val="65A672FB"/>
    <w:rsid w:val="667D265D"/>
    <w:rsid w:val="66B75538"/>
    <w:rsid w:val="67A4546B"/>
    <w:rsid w:val="680A43A3"/>
    <w:rsid w:val="69F83B0B"/>
    <w:rsid w:val="6A0B3BD1"/>
    <w:rsid w:val="6A0D3843"/>
    <w:rsid w:val="6B4C26F3"/>
    <w:rsid w:val="6BBC23C0"/>
    <w:rsid w:val="6BBD5B5B"/>
    <w:rsid w:val="6C6D2921"/>
    <w:rsid w:val="6CC877B5"/>
    <w:rsid w:val="6F0F4163"/>
    <w:rsid w:val="705F3DAE"/>
    <w:rsid w:val="71145A61"/>
    <w:rsid w:val="71F63242"/>
    <w:rsid w:val="73B61051"/>
    <w:rsid w:val="769FF995"/>
    <w:rsid w:val="79E42C79"/>
    <w:rsid w:val="7A340E15"/>
    <w:rsid w:val="7A7632E8"/>
    <w:rsid w:val="7DD02D0F"/>
    <w:rsid w:val="7F5636E8"/>
    <w:rsid w:val="7FB5D9C1"/>
    <w:rsid w:val="7FC05006"/>
    <w:rsid w:val="A777D393"/>
    <w:rsid w:val="EADEEE77"/>
    <w:rsid w:val="FFF35B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2"/>
    <w:next w:val="1"/>
    <w:qFormat/>
    <w:uiPriority w:val="0"/>
    <w:pPr>
      <w:keepNext/>
      <w:keepLines/>
      <w:spacing w:beforeLines="0" w:beforeAutospacing="0" w:afterLines="0" w:afterAutospacing="0" w:line="360" w:lineRule="auto"/>
      <w:ind w:left="431" w:hanging="431"/>
      <w:jc w:val="left"/>
      <w:outlineLvl w:val="1"/>
    </w:pPr>
    <w:rPr>
      <w:rFonts w:ascii="Times New Roman" w:hAnsi="Times New Roman" w:eastAsia="宋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te Heading"/>
    <w:basedOn w:val="1"/>
    <w:next w:val="1"/>
    <w:qFormat/>
    <w:uiPriority w:val="0"/>
    <w:pPr>
      <w:spacing w:line="360" w:lineRule="auto"/>
      <w:ind w:firstLine="200" w:firstLineChars="200"/>
      <w:jc w:val="center"/>
    </w:pPr>
    <w:rPr>
      <w:sz w:val="24"/>
      <w:szCs w:val="20"/>
    </w:rPr>
  </w:style>
  <w:style w:type="paragraph" w:styleId="5">
    <w:name w:val="Normal Indent"/>
    <w:basedOn w:val="1"/>
    <w:next w:val="1"/>
    <w:qFormat/>
    <w:uiPriority w:val="0"/>
    <w:pPr>
      <w:ind w:firstLine="420"/>
    </w:pPr>
  </w:style>
  <w:style w:type="paragraph" w:styleId="6">
    <w:name w:val="annotation text"/>
    <w:basedOn w:val="1"/>
    <w:link w:val="31"/>
    <w:unhideWhenUsed/>
    <w:qFormat/>
    <w:uiPriority w:val="99"/>
    <w:pPr>
      <w:jc w:val="left"/>
    </w:pPr>
  </w:style>
  <w:style w:type="paragraph" w:styleId="7">
    <w:name w:val="Body Text"/>
    <w:basedOn w:val="1"/>
    <w:next w:val="4"/>
    <w:qFormat/>
    <w:uiPriority w:val="0"/>
    <w:pPr>
      <w:widowControl/>
      <w:snapToGrid w:val="0"/>
      <w:spacing w:before="60" w:after="160" w:line="259" w:lineRule="auto"/>
      <w:ind w:right="113"/>
    </w:pPr>
    <w:rPr>
      <w:kern w:val="0"/>
      <w:sz w:val="18"/>
      <w:szCs w:val="20"/>
    </w:rPr>
  </w:style>
  <w:style w:type="paragraph" w:styleId="8">
    <w:name w:val="Body Text Indent"/>
    <w:basedOn w:val="1"/>
    <w:next w:val="9"/>
    <w:link w:val="28"/>
    <w:qFormat/>
    <w:uiPriority w:val="0"/>
    <w:pPr>
      <w:spacing w:after="120"/>
      <w:ind w:left="420" w:leftChars="200"/>
    </w:pPr>
  </w:style>
  <w:style w:type="paragraph" w:styleId="9">
    <w:name w:val="Body Text First Indent 2"/>
    <w:basedOn w:val="8"/>
    <w:next w:val="10"/>
    <w:unhideWhenUsed/>
    <w:qFormat/>
    <w:uiPriority w:val="99"/>
    <w:pPr>
      <w:spacing w:line="360" w:lineRule="auto"/>
      <w:ind w:left="0" w:leftChars="0" w:firstLine="1044" w:firstLineChars="200"/>
    </w:pPr>
    <w:rPr>
      <w:kern w:val="2"/>
    </w:rPr>
  </w:style>
  <w:style w:type="paragraph" w:customStyle="1" w:styleId="10">
    <w:name w:val="Default"/>
    <w:basedOn w:val="11"/>
    <w:next w:val="12"/>
    <w:qFormat/>
    <w:uiPriority w:val="0"/>
    <w:pPr>
      <w:autoSpaceDE w:val="0"/>
      <w:autoSpaceDN w:val="0"/>
      <w:adjustRightInd w:val="0"/>
    </w:pPr>
    <w:rPr>
      <w:rFonts w:ascii="黑体" w:hAnsi="Calibri" w:eastAsia="黑体" w:cs="黑体"/>
      <w:color w:val="000000"/>
      <w:sz w:val="24"/>
      <w:szCs w:val="24"/>
      <w:lang w:eastAsia="zh-CN"/>
    </w:rPr>
  </w:style>
  <w:style w:type="paragraph" w:customStyle="1" w:styleId="11">
    <w:name w:val="纯文本1"/>
    <w:basedOn w:val="1"/>
    <w:qFormat/>
    <w:uiPriority w:val="0"/>
    <w:pPr>
      <w:suppressAutoHyphens/>
      <w:snapToGrid w:val="0"/>
      <w:spacing w:line="400" w:lineRule="exact"/>
    </w:pPr>
    <w:rPr>
      <w:rFonts w:ascii="宋体" w:hAnsi="宋体"/>
      <w:kern w:val="1"/>
      <w:sz w:val="21"/>
      <w:szCs w:val="21"/>
      <w:lang w:eastAsia="ar-SA"/>
    </w:rPr>
  </w:style>
  <w:style w:type="paragraph" w:customStyle="1" w:styleId="12">
    <w:name w:val="样式35"/>
    <w:next w:val="1"/>
    <w:qFormat/>
    <w:uiPriority w:val="0"/>
    <w:pPr>
      <w:widowControl w:val="0"/>
      <w:spacing w:line="312" w:lineRule="auto"/>
      <w:ind w:firstLine="567"/>
      <w:jc w:val="both"/>
    </w:pPr>
    <w:rPr>
      <w:rFonts w:ascii="宋体" w:hAnsi="Calibri" w:eastAsia="宋体" w:cs="宋体"/>
      <w:kern w:val="2"/>
      <w:sz w:val="28"/>
      <w:lang w:val="en-US" w:eastAsia="zh-CN" w:bidi="ar-SA"/>
    </w:rPr>
  </w:style>
  <w:style w:type="paragraph" w:styleId="13">
    <w:name w:val="Balloon Text"/>
    <w:basedOn w:val="1"/>
    <w:link w:val="30"/>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rPr>
      <w:sz w:val="24"/>
    </w:rPr>
  </w:style>
  <w:style w:type="paragraph" w:styleId="17">
    <w:name w:val="annotation subject"/>
    <w:basedOn w:val="6"/>
    <w:next w:val="6"/>
    <w:link w:val="32"/>
    <w:unhideWhenUsed/>
    <w:qFormat/>
    <w:uiPriority w:val="99"/>
    <w:rPr>
      <w:b/>
      <w:bCs/>
    </w:rPr>
  </w:style>
  <w:style w:type="paragraph" w:styleId="18">
    <w:name w:val="Body Text First Indent"/>
    <w:basedOn w:val="7"/>
    <w:next w:val="1"/>
    <w:qFormat/>
    <w:uiPriority w:val="0"/>
    <w:pPr>
      <w:widowControl w:val="0"/>
      <w:snapToGrid/>
      <w:spacing w:before="0" w:after="120" w:line="360" w:lineRule="auto"/>
      <w:ind w:right="0" w:firstLine="200" w:firstLineChars="200"/>
    </w:pPr>
    <w:rPr>
      <w:snapToGrid w:val="0"/>
      <w:color w:val="000000"/>
      <w:kern w:val="2"/>
      <w:sz w:val="24"/>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unhideWhenUsed/>
    <w:qFormat/>
    <w:uiPriority w:val="99"/>
    <w:rPr>
      <w:sz w:val="21"/>
      <w:szCs w:val="21"/>
    </w:rPr>
  </w:style>
  <w:style w:type="paragraph" w:customStyle="1" w:styleId="23">
    <w:name w:val="正文(首行缩进)"/>
    <w:basedOn w:val="1"/>
    <w:qFormat/>
    <w:uiPriority w:val="0"/>
    <w:pPr>
      <w:spacing w:line="360" w:lineRule="auto"/>
      <w:ind w:firstLine="480" w:firstLineChars="200"/>
    </w:pPr>
    <w:rPr>
      <w:rFonts w:ascii="宋体" w:hAnsi="宋体"/>
      <w:color w:val="000000"/>
      <w:kern w:val="24"/>
      <w:szCs w:val="20"/>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paragraph" w:customStyle="1" w:styleId="26">
    <w:name w:val="List Paragraph"/>
    <w:basedOn w:val="1"/>
    <w:qFormat/>
    <w:uiPriority w:val="99"/>
    <w:pPr>
      <w:ind w:firstLine="420" w:firstLineChars="200"/>
    </w:pPr>
  </w:style>
  <w:style w:type="paragraph" w:customStyle="1" w:styleId="27">
    <w:name w:val="表格内容"/>
    <w:basedOn w:val="1"/>
    <w:next w:val="7"/>
    <w:qFormat/>
    <w:uiPriority w:val="0"/>
    <w:pPr>
      <w:adjustRightInd w:val="0"/>
      <w:snapToGrid w:val="0"/>
      <w:jc w:val="center"/>
    </w:pPr>
    <w:rPr>
      <w:snapToGrid w:val="0"/>
      <w:szCs w:val="18"/>
    </w:rPr>
  </w:style>
  <w:style w:type="character" w:customStyle="1" w:styleId="28">
    <w:name w:val="正文文本缩进 Char"/>
    <w:basedOn w:val="21"/>
    <w:link w:val="8"/>
    <w:qFormat/>
    <w:uiPriority w:val="0"/>
    <w:rPr>
      <w:kern w:val="2"/>
      <w:sz w:val="21"/>
    </w:rPr>
  </w:style>
  <w:style w:type="paragraph" w:customStyle="1" w:styleId="29">
    <w:name w:val="Char"/>
    <w:basedOn w:val="1"/>
    <w:qFormat/>
    <w:uiPriority w:val="0"/>
    <w:pPr>
      <w:spacing w:line="360" w:lineRule="auto"/>
    </w:pPr>
    <w:rPr>
      <w:szCs w:val="24"/>
    </w:rPr>
  </w:style>
  <w:style w:type="character" w:customStyle="1" w:styleId="30">
    <w:name w:val="批注框文本 Char"/>
    <w:basedOn w:val="21"/>
    <w:link w:val="13"/>
    <w:semiHidden/>
    <w:qFormat/>
    <w:uiPriority w:val="99"/>
    <w:rPr>
      <w:kern w:val="2"/>
      <w:sz w:val="18"/>
      <w:szCs w:val="18"/>
    </w:rPr>
  </w:style>
  <w:style w:type="character" w:customStyle="1" w:styleId="31">
    <w:name w:val="批注文字 Char"/>
    <w:basedOn w:val="21"/>
    <w:link w:val="6"/>
    <w:semiHidden/>
    <w:qFormat/>
    <w:uiPriority w:val="99"/>
    <w:rPr>
      <w:kern w:val="2"/>
      <w:sz w:val="21"/>
    </w:rPr>
  </w:style>
  <w:style w:type="character" w:customStyle="1" w:styleId="32">
    <w:name w:val="批注主题 Char"/>
    <w:basedOn w:val="31"/>
    <w:link w:val="17"/>
    <w:semiHidden/>
    <w:qFormat/>
    <w:uiPriority w:val="99"/>
    <w:rPr>
      <w:b/>
      <w:bCs/>
    </w:rPr>
  </w:style>
  <w:style w:type="paragraph" w:customStyle="1" w:styleId="33">
    <w:name w:val="正文（小四）"/>
    <w:qFormat/>
    <w:uiPriority w:val="0"/>
    <w:pPr>
      <w:spacing w:line="360" w:lineRule="auto"/>
      <w:ind w:firstLine="200" w:firstLineChars="200"/>
      <w:jc w:val="both"/>
    </w:pPr>
    <w:rPr>
      <w:rFonts w:ascii="Times New Roman" w:hAnsi="Times New Roman" w:eastAsia="宋体" w:cs="Times New Roman"/>
      <w:bCs/>
      <w:color w:val="000000"/>
      <w:kern w:val="2"/>
      <w:sz w:val="24"/>
      <w:szCs w:val="32"/>
      <w:lang w:val="en-US" w:eastAsia="zh-CN" w:bidi="ar-SA"/>
    </w:rPr>
  </w:style>
  <w:style w:type="paragraph" w:customStyle="1" w:styleId="34">
    <w:name w:val="1正文（chuan）"/>
    <w:basedOn w:val="1"/>
    <w:qFormat/>
    <w:uiPriority w:val="0"/>
    <w:pPr>
      <w:spacing w:line="360" w:lineRule="auto"/>
      <w:ind w:firstLine="480" w:firstLineChars="200"/>
    </w:pPr>
    <w:rPr>
      <w:kern w:val="0"/>
      <w:sz w:val="24"/>
      <w:szCs w:val="20"/>
    </w:rPr>
  </w:style>
  <w:style w:type="paragraph" w:customStyle="1" w:styleId="35">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6">
    <w:name w:val="表格名称"/>
    <w:basedOn w:val="1"/>
    <w:next w:val="1"/>
    <w:qFormat/>
    <w:uiPriority w:val="0"/>
    <w:pPr>
      <w:spacing w:line="360" w:lineRule="auto"/>
      <w:jc w:val="center"/>
    </w:pPr>
    <w:rPr>
      <w:rFonts w:asciiTheme="minorHAnsi" w:hAnsiTheme="minorHAnsi" w:cstheme="minorBidi"/>
      <w:b/>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1628</Words>
  <Characters>1830</Characters>
  <Lines>10</Lines>
  <Paragraphs>2</Paragraphs>
  <TotalTime>2</TotalTime>
  <ScaleCrop>false</ScaleCrop>
  <LinksUpToDate>false</LinksUpToDate>
  <CharactersWithSpaces>2078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2021-05-16T00:42:00Z</dcterms:created>
  <dc:creator>User</dc:creator>
  <cp:lastModifiedBy>Shirley</cp:lastModifiedBy>
  <cp:lastPrinted>2025-01-10T08:18:27Z</cp:lastPrinted>
  <dcterms:modified xsi:type="dcterms:W3CDTF">2025-01-10T08:18:48Z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8D3B91F19BC14FBE86AD4E5712765B13_13</vt:lpwstr>
  </property>
  <property fmtid="{D5CDD505-2E9C-101B-9397-08002B2CF9AE}" pid="4" name="KSOTemplateDocerSaveRecord">
    <vt:lpwstr>eyJoZGlkIjoiODE5NjEyMWVmMTRkMzFlOWVmZWU1NTRhOTllODM1YjAiLCJ1c2VySWQiOiI4Njc1MzU0MDkifQ==</vt:lpwstr>
  </property>
</Properties>
</file>