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72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</w:t>
      </w:r>
    </w:p>
    <w:p w14:paraId="5C8D7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福州市台江区人民政府关于台江区义务教育</w:t>
      </w:r>
    </w:p>
    <w:p w14:paraId="45BBCC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优质均衡发展省级督导评估反馈意见</w:t>
      </w:r>
    </w:p>
    <w:p w14:paraId="5405F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整改情况的报告</w:t>
      </w:r>
    </w:p>
    <w:p w14:paraId="024932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6BC0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省人民政府教育督导办公室：</w:t>
      </w:r>
    </w:p>
    <w:p w14:paraId="2A48D4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《福建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省人民政府教育督导办公室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关于反馈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福州市台江区</w:t>
      </w:r>
      <w:r>
        <w:rPr>
          <w:rFonts w:hint="eastAsia" w:ascii="仿宋_GB2312" w:hAnsi="仿宋_GB2312" w:eastAsia="仿宋_GB2312" w:cs="仿宋_GB2312"/>
          <w:sz w:val="32"/>
          <w:szCs w:val="32"/>
        </w:rPr>
        <w:t>义务教育优质均衡发展省级督导评估意见的通知》（闽政教督办〔202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已收悉，我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高度重视，结合所反馈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的三个方面</w:t>
      </w:r>
      <w:r>
        <w:rPr>
          <w:rFonts w:hint="eastAsia" w:ascii="仿宋_GB2312" w:hAnsi="仿宋_GB2312" w:eastAsia="仿宋_GB2312" w:cs="仿宋_GB2312"/>
          <w:sz w:val="32"/>
          <w:szCs w:val="32"/>
        </w:rPr>
        <w:t>问题及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四条</w:t>
      </w:r>
      <w:r>
        <w:rPr>
          <w:rFonts w:hint="eastAsia" w:ascii="仿宋_GB2312" w:hAnsi="仿宋_GB2312" w:eastAsia="仿宋_GB2312" w:cs="仿宋_GB2312"/>
          <w:sz w:val="32"/>
          <w:szCs w:val="32"/>
        </w:rPr>
        <w:t>整改意见，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逐条研究，切实整改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整改</w:t>
      </w:r>
      <w:r>
        <w:rPr>
          <w:rFonts w:hint="eastAsia" w:ascii="仿宋_GB2312" w:hAnsi="仿宋_GB2312" w:eastAsia="仿宋_GB2312" w:cs="仿宋_GB2312"/>
          <w:sz w:val="32"/>
          <w:szCs w:val="32"/>
        </w:rPr>
        <w:t>情况报告如下：</w:t>
      </w:r>
    </w:p>
    <w:p w14:paraId="7223F0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资源配置指标方面</w:t>
      </w:r>
    </w:p>
    <w:p w14:paraId="6E7EF8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（一）存在问题</w:t>
      </w:r>
    </w:p>
    <w:p w14:paraId="5A083C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仍有11所学校生均体育运动场馆面积不达标，占比36.7%，其中8所低于标准的85%;4所学校生均教学及辅助用房面积不达标，占比13.3%:2所学校存在音乐美术等专用教室数量、面积不足，占比6.7%;个别老城区学校与新建学校在校舍、设施设备配置水平等方面存在明显差距</w:t>
      </w:r>
    </w:p>
    <w:p w14:paraId="6C4163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（二）整改措施</w:t>
      </w:r>
    </w:p>
    <w:p w14:paraId="56E020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进一步针对性地细化相关学校生均体育运动场馆面积、生均教学及辅助用房面积的化解方案；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按照评估标准，整合现有空置教室，增设音乐和美术等专用教室数量，并配齐相应教学设备；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持续投入资金，合理优化布局，稳步推进新改扩建老旧学校进程，逐步淘汰更新陈旧落后的教学设施设备。</w:t>
      </w:r>
    </w:p>
    <w:p w14:paraId="1422EB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二、政府保障指标方面</w:t>
      </w:r>
    </w:p>
    <w:p w14:paraId="5B29D2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（一）存在问题</w:t>
      </w:r>
    </w:p>
    <w:p w14:paraId="4E31BD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大校额、大班额现象仍然存在，全区超2000人的学校共4所(其中小学3所，中学1所);小学班额超过45人的班级218个，占比36.5%，其中起始年级班级16个;初中班额超过50人的班级44个，占比17.4%，其中起始年级班级37个。2024年生均经费还有较大金额未使用。部分学校专职艺术、体育、道德与法治和科学教师配备不足，多数学校教师培训经费使用未完成。</w:t>
      </w:r>
    </w:p>
    <w:p w14:paraId="2DE453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（二）整改措施</w:t>
      </w:r>
    </w:p>
    <w:p w14:paraId="74445E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i w:val="0"/>
          <w:strike w:val="0"/>
          <w:spacing w:val="0"/>
          <w:sz w:val="32"/>
          <w:u w:val="none"/>
          <w:lang w:val="en-US" w:eastAsia="zh-CN"/>
        </w:rPr>
        <w:t>1.</w:t>
      </w:r>
      <w:r>
        <w:rPr>
          <w:rFonts w:ascii="仿宋" w:hAnsi="仿宋" w:eastAsia="仿宋" w:cs="仿宋"/>
          <w:b w:val="0"/>
          <w:i w:val="0"/>
          <w:strike w:val="0"/>
          <w:spacing w:val="0"/>
          <w:sz w:val="32"/>
          <w:u w:val="none"/>
        </w:rPr>
        <w:t>严格控制和管理学生招生数量。遵守班额标准，特别是在起始年级，防止产生新的大班额。根据相关学校生源摸排情况和六年级班生数，科学测算起始年级招生计划。提早谋划，对学校进行挖潜改造，提高校舍利用率，做好扩容增班准备。提前发布学位预警，控制招生规模，分流随迁子女。</w:t>
      </w:r>
    </w:p>
    <w:p w14:paraId="0D9CFB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strike w:val="0"/>
          <w:spacing w:val="0"/>
          <w:sz w:val="32"/>
          <w:u w:val="none"/>
          <w:lang w:val="en-US" w:eastAsia="zh-CN"/>
        </w:rPr>
        <w:t>2.</w:t>
      </w:r>
      <w:r>
        <w:rPr>
          <w:rFonts w:ascii="仿宋" w:hAnsi="仿宋" w:eastAsia="仿宋" w:cs="仿宋"/>
          <w:i w:val="0"/>
          <w:strike w:val="0"/>
          <w:spacing w:val="0"/>
          <w:sz w:val="32"/>
          <w:u w:val="none"/>
        </w:rPr>
        <w:t>2024年未使用的生均经费向</w:t>
      </w:r>
      <w:r>
        <w:rPr>
          <w:rFonts w:hint="eastAsia" w:ascii="仿宋" w:hAnsi="仿宋" w:eastAsia="仿宋" w:cs="仿宋"/>
          <w:i w:val="0"/>
          <w:strike w:val="0"/>
          <w:spacing w:val="0"/>
          <w:sz w:val="32"/>
          <w:u w:val="none"/>
          <w:lang w:val="en-US" w:eastAsia="zh-CN"/>
        </w:rPr>
        <w:t>区</w:t>
      </w:r>
      <w:r>
        <w:rPr>
          <w:rFonts w:ascii="仿宋" w:hAnsi="仿宋" w:eastAsia="仿宋" w:cs="仿宋"/>
          <w:i w:val="0"/>
          <w:strike w:val="0"/>
          <w:spacing w:val="0"/>
          <w:sz w:val="32"/>
          <w:u w:val="none"/>
        </w:rPr>
        <w:t>财政申请回拨。</w:t>
      </w:r>
    </w:p>
    <w:p w14:paraId="6C294F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进一步优化教师结构，科学配置教师资源，2025年起将体育、艺术、小学德法等学科教师列为重点补充学科，通过研究生及退役运动专场招聘、全省新任教师统一笔试招聘等批次逐步补充艺术、体育、道德与法治、科学专职教师。同时，通过教师交流轮岗、教育集团内教师走教、购买服务等形式拓宽艺术、体育专职教师补充渠道。</w:t>
      </w:r>
    </w:p>
    <w:p w14:paraId="4E9E9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强化教师培养培训工作，科学制定教师培训计划，建立教师梯度培养体系，通过“走出去”“请进来”的方式，分层次开展新任教师岗前培训、紧缺学科教师培训、区级骨干教师培训、名师翱翔计划、培训者培训等师资培训，确保2025年培训经费支出（含差旅费、专家讲课金）达到全年生均公用经费的5%，为教师专业成长提供坚实保障。</w:t>
      </w:r>
    </w:p>
    <w:p w14:paraId="17AFA8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三、教育质量指标方面</w:t>
      </w:r>
    </w:p>
    <w:p w14:paraId="5E3AEE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（一）存在问题</w:t>
      </w:r>
    </w:p>
    <w:p w14:paraId="6456B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个别学校章程制定不规范，制度不完善;个别学校未按课程表开齐开足课程，道德与法治、艺术体育、劳动、科学课等存在被挤占现象，个别学校教师不能熟练运用信息化手段组织教学，未能充分发挥学生的主体作用；部分学校的校园文化建设比较单薄，主题不够突出，未能与学校办学理念和特色紧密结合;个别学校课后服务内容较为单一，难以满足学生多样化需求。</w:t>
      </w:r>
    </w:p>
    <w:p w14:paraId="288004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（二）整改措施</w:t>
      </w:r>
    </w:p>
    <w:p w14:paraId="55EE565A">
      <w:pPr>
        <w:snapToGrid/>
        <w:spacing w:line="240" w:lineRule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以片区为单位，片头学校召集片内各校针对学校章程及相关制度进行梳理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后，区教育局再对各学校章程进行审核把关，进一步完善学校章程及制度内容。</w:t>
      </w:r>
    </w:p>
    <w:p w14:paraId="3F362C72">
      <w:pPr>
        <w:snapToGrid/>
        <w:spacing w:line="240" w:lineRule="auto"/>
        <w:ind w:firstLine="643" w:firstLineChars="200"/>
        <w:rPr>
          <w:rFonts w:hint="eastAsia" w:ascii="仿宋" w:hAnsi="仿宋" w:eastAsia="仿宋" w:cs="仿宋"/>
          <w:i w:val="0"/>
          <w:strike w:val="0"/>
          <w:spacing w:val="0"/>
          <w:sz w:val="32"/>
          <w:u w:val="none"/>
          <w:lang w:eastAsia="zh-CN"/>
        </w:rPr>
      </w:pPr>
      <w:r>
        <w:rPr>
          <w:rFonts w:hint="eastAsia" w:ascii="仿宋" w:hAnsi="仿宋" w:eastAsia="仿宋" w:cs="仿宋"/>
          <w:b/>
          <w:i w:val="0"/>
          <w:strike w:val="0"/>
          <w:spacing w:val="0"/>
          <w:sz w:val="32"/>
          <w:u w:val="none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i w:val="0"/>
          <w:strike w:val="0"/>
          <w:spacing w:val="0"/>
          <w:sz w:val="32"/>
          <w:u w:val="none"/>
          <w:lang w:val="en-US" w:eastAsia="zh-CN"/>
        </w:rPr>
        <w:t>在</w:t>
      </w:r>
      <w:r>
        <w:rPr>
          <w:rFonts w:ascii="仿宋" w:hAnsi="仿宋" w:eastAsia="仿宋" w:cs="仿宋"/>
          <w:b w:val="0"/>
          <w:i w:val="0"/>
          <w:strike w:val="0"/>
          <w:spacing w:val="0"/>
          <w:sz w:val="32"/>
          <w:u w:val="none"/>
        </w:rPr>
        <w:t>各学校</w:t>
      </w:r>
      <w:r>
        <w:rPr>
          <w:rFonts w:hint="eastAsia" w:ascii="仿宋" w:hAnsi="仿宋" w:eastAsia="仿宋" w:cs="仿宋"/>
          <w:b w:val="0"/>
          <w:i w:val="0"/>
          <w:strike w:val="0"/>
          <w:spacing w:val="0"/>
          <w:sz w:val="32"/>
          <w:u w:val="none"/>
          <w:lang w:val="en-US" w:eastAsia="zh-CN"/>
        </w:rPr>
        <w:t>组织</w:t>
      </w:r>
      <w:r>
        <w:rPr>
          <w:rFonts w:ascii="仿宋" w:hAnsi="仿宋" w:eastAsia="仿宋" w:cs="仿宋"/>
          <w:b w:val="0"/>
          <w:i w:val="0"/>
          <w:strike w:val="0"/>
          <w:spacing w:val="0"/>
          <w:sz w:val="32"/>
          <w:u w:val="none"/>
        </w:rPr>
        <w:t>开展</w:t>
      </w:r>
      <w:r>
        <w:rPr>
          <w:rFonts w:hint="eastAsia" w:ascii="仿宋" w:hAnsi="仿宋" w:eastAsia="仿宋" w:cs="仿宋"/>
          <w:b w:val="0"/>
          <w:i w:val="0"/>
          <w:strike w:val="0"/>
          <w:spacing w:val="0"/>
          <w:sz w:val="32"/>
          <w:u w:val="none"/>
          <w:lang w:val="en-US" w:eastAsia="zh-CN"/>
        </w:rPr>
        <w:t>全面</w:t>
      </w:r>
      <w:r>
        <w:rPr>
          <w:rFonts w:ascii="仿宋" w:hAnsi="仿宋" w:eastAsia="仿宋" w:cs="仿宋"/>
          <w:b w:val="0"/>
          <w:i w:val="0"/>
          <w:strike w:val="0"/>
          <w:spacing w:val="0"/>
          <w:sz w:val="32"/>
          <w:u w:val="none"/>
        </w:rPr>
        <w:t>自查</w:t>
      </w:r>
      <w:r>
        <w:rPr>
          <w:rFonts w:hint="eastAsia" w:ascii="仿宋" w:hAnsi="仿宋" w:eastAsia="仿宋" w:cs="仿宋"/>
          <w:b w:val="0"/>
          <w:i w:val="0"/>
          <w:strike w:val="0"/>
          <w:spacing w:val="0"/>
          <w:sz w:val="32"/>
          <w:u w:val="none"/>
          <w:lang w:val="en-US" w:eastAsia="zh-CN"/>
        </w:rPr>
        <w:t>后</w:t>
      </w:r>
      <w:r>
        <w:rPr>
          <w:rFonts w:ascii="仿宋" w:hAnsi="仿宋" w:eastAsia="仿宋" w:cs="仿宋"/>
          <w:b w:val="0"/>
          <w:i w:val="0"/>
          <w:strike w:val="0"/>
          <w:spacing w:val="0"/>
          <w:sz w:val="32"/>
          <w:u w:val="none"/>
        </w:rPr>
        <w:t>，</w:t>
      </w:r>
      <w:r>
        <w:rPr>
          <w:rFonts w:hint="eastAsia" w:ascii="仿宋" w:hAnsi="仿宋" w:eastAsia="仿宋" w:cs="仿宋"/>
          <w:b w:val="0"/>
          <w:i w:val="0"/>
          <w:strike w:val="0"/>
          <w:spacing w:val="0"/>
          <w:sz w:val="32"/>
          <w:u w:val="none"/>
          <w:lang w:val="en-US" w:eastAsia="zh-CN"/>
        </w:rPr>
        <w:t>区教育局</w:t>
      </w:r>
      <w:r>
        <w:rPr>
          <w:rFonts w:ascii="仿宋" w:hAnsi="仿宋" w:eastAsia="仿宋" w:cs="仿宋"/>
          <w:b w:val="0"/>
          <w:i w:val="0"/>
          <w:strike w:val="0"/>
          <w:spacing w:val="0"/>
          <w:sz w:val="32"/>
          <w:u w:val="none"/>
        </w:rPr>
        <w:t>对照省颁课程标准和学校课程表，</w:t>
      </w:r>
      <w:r>
        <w:rPr>
          <w:rFonts w:hint="eastAsia" w:ascii="仿宋" w:hAnsi="仿宋" w:eastAsia="仿宋" w:cs="仿宋"/>
          <w:b w:val="0"/>
          <w:i w:val="0"/>
          <w:strike w:val="0"/>
          <w:spacing w:val="0"/>
          <w:sz w:val="32"/>
          <w:u w:val="none"/>
          <w:lang w:val="en-US" w:eastAsia="zh-CN"/>
        </w:rPr>
        <w:t>适时进行抽查，将抽查结果与学校学年度绩效考评方案挂钩，</w:t>
      </w:r>
      <w:r>
        <w:rPr>
          <w:rFonts w:ascii="仿宋" w:hAnsi="仿宋" w:eastAsia="仿宋" w:cs="仿宋"/>
          <w:b w:val="0"/>
          <w:i w:val="0"/>
          <w:strike w:val="0"/>
          <w:spacing w:val="0"/>
          <w:sz w:val="32"/>
          <w:u w:val="none"/>
        </w:rPr>
        <w:t>确保</w:t>
      </w:r>
      <w:r>
        <w:rPr>
          <w:rFonts w:hint="eastAsia" w:ascii="仿宋" w:hAnsi="仿宋" w:eastAsia="仿宋" w:cs="仿宋"/>
          <w:b w:val="0"/>
          <w:i w:val="0"/>
          <w:strike w:val="0"/>
          <w:spacing w:val="0"/>
          <w:sz w:val="32"/>
          <w:u w:val="none"/>
          <w:lang w:val="en-US" w:eastAsia="zh-CN"/>
        </w:rPr>
        <w:t>各</w:t>
      </w:r>
      <w:r>
        <w:rPr>
          <w:rFonts w:ascii="仿宋" w:hAnsi="仿宋" w:eastAsia="仿宋" w:cs="仿宋"/>
          <w:b w:val="0"/>
          <w:i w:val="0"/>
          <w:strike w:val="0"/>
          <w:spacing w:val="0"/>
          <w:sz w:val="32"/>
          <w:u w:val="none"/>
        </w:rPr>
        <w:t>学校开齐开足课程。</w:t>
      </w:r>
      <w:r>
        <w:rPr>
          <w:rFonts w:ascii="仿宋" w:hAnsi="仿宋" w:eastAsia="仿宋" w:cs="仿宋"/>
          <w:i w:val="0"/>
          <w:strike w:val="0"/>
          <w:spacing w:val="0"/>
          <w:sz w:val="32"/>
          <w:u w:val="none"/>
        </w:rPr>
        <w:t>区教师进修学校定期开展数字化教学专题讲座</w:t>
      </w:r>
      <w:r>
        <w:rPr>
          <w:rFonts w:hint="eastAsia" w:ascii="仿宋" w:hAnsi="仿宋" w:eastAsia="仿宋" w:cs="仿宋"/>
          <w:i w:val="0"/>
          <w:strike w:val="0"/>
          <w:spacing w:val="0"/>
          <w:sz w:val="32"/>
          <w:u w:val="none"/>
          <w:lang w:eastAsia="zh-CN"/>
        </w:rPr>
        <w:t>、</w:t>
      </w:r>
      <w:r>
        <w:rPr>
          <w:rFonts w:ascii="仿宋" w:hAnsi="仿宋" w:eastAsia="仿宋" w:cs="仿宋"/>
          <w:i w:val="0"/>
          <w:strike w:val="0"/>
          <w:spacing w:val="0"/>
          <w:sz w:val="32"/>
          <w:u w:val="none"/>
        </w:rPr>
        <w:t>培训、研讨交流</w:t>
      </w:r>
      <w:r>
        <w:rPr>
          <w:rFonts w:hint="eastAsia" w:ascii="仿宋" w:hAnsi="仿宋" w:eastAsia="仿宋" w:cs="仿宋"/>
          <w:i w:val="0"/>
          <w:strike w:val="0"/>
          <w:spacing w:val="0"/>
          <w:sz w:val="32"/>
          <w:u w:val="none"/>
          <w:lang w:val="en-US" w:eastAsia="zh-CN"/>
        </w:rPr>
        <w:t>及教学</w:t>
      </w:r>
      <w:r>
        <w:rPr>
          <w:rFonts w:ascii="仿宋" w:hAnsi="仿宋" w:eastAsia="仿宋" w:cs="仿宋"/>
          <w:i w:val="0"/>
          <w:strike w:val="0"/>
          <w:spacing w:val="0"/>
          <w:sz w:val="32"/>
          <w:u w:val="none"/>
        </w:rPr>
        <w:t>比赛等活动</w:t>
      </w:r>
      <w:r>
        <w:rPr>
          <w:rFonts w:hint="eastAsia" w:ascii="仿宋" w:hAnsi="仿宋" w:eastAsia="仿宋" w:cs="仿宋"/>
          <w:i w:val="0"/>
          <w:strike w:val="0"/>
          <w:spacing w:val="0"/>
          <w:sz w:val="32"/>
          <w:u w:val="none"/>
          <w:lang w:eastAsia="zh-CN"/>
        </w:rPr>
        <w:t>，</w:t>
      </w:r>
      <w:r>
        <w:rPr>
          <w:rFonts w:ascii="仿宋" w:hAnsi="仿宋" w:eastAsia="仿宋" w:cs="仿宋"/>
          <w:i w:val="0"/>
          <w:strike w:val="0"/>
          <w:spacing w:val="0"/>
          <w:sz w:val="32"/>
          <w:u w:val="none"/>
        </w:rPr>
        <w:t>加强教师数字化教学理念与技能的</w:t>
      </w:r>
      <w:r>
        <w:rPr>
          <w:rFonts w:hint="eastAsia" w:ascii="仿宋" w:hAnsi="仿宋" w:eastAsia="仿宋" w:cs="仿宋"/>
          <w:i w:val="0"/>
          <w:strike w:val="0"/>
          <w:spacing w:val="0"/>
          <w:sz w:val="32"/>
          <w:u w:val="none"/>
          <w:lang w:val="en-US" w:eastAsia="zh-CN"/>
        </w:rPr>
        <w:t>提升</w:t>
      </w:r>
      <w:r>
        <w:rPr>
          <w:rFonts w:hint="eastAsia" w:ascii="仿宋" w:hAnsi="仿宋" w:eastAsia="仿宋" w:cs="仿宋"/>
          <w:i w:val="0"/>
          <w:strike w:val="0"/>
          <w:spacing w:val="0"/>
          <w:sz w:val="32"/>
          <w:u w:val="none"/>
          <w:lang w:eastAsia="zh-CN"/>
        </w:rPr>
        <w:t>。</w:t>
      </w:r>
    </w:p>
    <w:p w14:paraId="252C6F33">
      <w:pPr>
        <w:snapToGrid/>
        <w:spacing w:line="240" w:lineRule="auto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i w:val="0"/>
          <w:strike w:val="0"/>
          <w:spacing w:val="0"/>
          <w:sz w:val="32"/>
          <w:u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指导辖区学校进一步深入挖掘办学历史、教育资源、地理位置等优势，提炼出独特、明确、富有内涵的办学理念，并在校长论坛等活动中进行展示；制定校园文化建设的长期规划和短期目标，形成“一校一品”、“一校多品”的办学特色，并开展区级办学特色推介活动。</w:t>
      </w:r>
    </w:p>
    <w:p w14:paraId="369CF8F3">
      <w:pPr>
        <w:snapToGrid/>
        <w:spacing w:before="0" w:after="0" w:line="240" w:lineRule="auto"/>
        <w:ind w:left="0" w:right="0" w:firstLine="643" w:firstLineChars="200"/>
        <w:jc w:val="left"/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</w:t>
      </w:r>
      <w:r>
        <w:rPr>
          <w:rFonts w:ascii="仿宋" w:hAnsi="仿宋" w:eastAsia="仿宋" w:cs="仿宋"/>
          <w:i w:val="0"/>
          <w:strike w:val="0"/>
          <w:color w:val="000000"/>
          <w:sz w:val="32"/>
          <w:u w:val="none"/>
        </w:rPr>
        <w:t>扎实推进学校课后服务“2+N”模式，夯实“作业辅导”成果，提升“体育锻炼”成效，指导各校合理合规采购第三方机构入校开展课后服务，为学有余力的学生拓展学习空间，开展丰富多彩的科普、文体、艺术、劳动、阅读、兴趣小组及社团活动。</w:t>
      </w:r>
    </w:p>
    <w:p w14:paraId="21A782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"/>
        </w:rPr>
      </w:pPr>
    </w:p>
    <w:p w14:paraId="6423C21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福州市台江</w:t>
      </w:r>
      <w:r>
        <w:rPr>
          <w:rFonts w:hint="eastAsia" w:ascii="仿宋_GB2312" w:hAnsi="仿宋_GB2312" w:eastAsia="仿宋_GB2312" w:cs="仿宋_GB2312"/>
          <w:sz w:val="32"/>
          <w:szCs w:val="32"/>
        </w:rPr>
        <w:t>区人民政府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633D0F3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1417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74C2308-C4F2-488E-9FC7-AA3CADC63F1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2C2FFEF-ED60-4EA8-9CD6-A41FF7C542FE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8AB8B19-29E9-47E9-A398-272C6BE06A7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F40C83B-185F-421D-B01A-B7A6F9B02DF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1818968F-C4C9-42EC-9331-816DEDD1F76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3C6C45"/>
    <w:rsid w:val="063410C3"/>
    <w:rsid w:val="0C75024D"/>
    <w:rsid w:val="0D1D3A97"/>
    <w:rsid w:val="10DC353D"/>
    <w:rsid w:val="12210BBD"/>
    <w:rsid w:val="131C20FB"/>
    <w:rsid w:val="15FA2BC8"/>
    <w:rsid w:val="16B03286"/>
    <w:rsid w:val="1DFAFD7F"/>
    <w:rsid w:val="1F9B753D"/>
    <w:rsid w:val="21485259"/>
    <w:rsid w:val="22975981"/>
    <w:rsid w:val="27201D62"/>
    <w:rsid w:val="28005C30"/>
    <w:rsid w:val="2DDA396E"/>
    <w:rsid w:val="2E6FF953"/>
    <w:rsid w:val="313553C8"/>
    <w:rsid w:val="33A45AC9"/>
    <w:rsid w:val="357B0644"/>
    <w:rsid w:val="3618573B"/>
    <w:rsid w:val="3EF77944"/>
    <w:rsid w:val="3F2521B4"/>
    <w:rsid w:val="41A2189A"/>
    <w:rsid w:val="42BF3CAD"/>
    <w:rsid w:val="4DB7491F"/>
    <w:rsid w:val="4DD5203A"/>
    <w:rsid w:val="4E265601"/>
    <w:rsid w:val="4FCB6460"/>
    <w:rsid w:val="50681F00"/>
    <w:rsid w:val="52B23B68"/>
    <w:rsid w:val="52E8557B"/>
    <w:rsid w:val="55BF08F8"/>
    <w:rsid w:val="55FD8C2C"/>
    <w:rsid w:val="56012D70"/>
    <w:rsid w:val="5A435D01"/>
    <w:rsid w:val="5AF745AD"/>
    <w:rsid w:val="5C2313D1"/>
    <w:rsid w:val="5E4F09C2"/>
    <w:rsid w:val="5EFABDA6"/>
    <w:rsid w:val="5F27402A"/>
    <w:rsid w:val="5F463D55"/>
    <w:rsid w:val="5FDF70B4"/>
    <w:rsid w:val="600740C9"/>
    <w:rsid w:val="633C6C45"/>
    <w:rsid w:val="64C6E840"/>
    <w:rsid w:val="68A85138"/>
    <w:rsid w:val="69AF0BE0"/>
    <w:rsid w:val="6ADB24E9"/>
    <w:rsid w:val="6C7A4D42"/>
    <w:rsid w:val="6D6A50B2"/>
    <w:rsid w:val="6E0D6AD1"/>
    <w:rsid w:val="6FC3DD87"/>
    <w:rsid w:val="6FFD53C6"/>
    <w:rsid w:val="6FFF9D56"/>
    <w:rsid w:val="70707B9B"/>
    <w:rsid w:val="73FDF71D"/>
    <w:rsid w:val="76AE03FA"/>
    <w:rsid w:val="77D946E8"/>
    <w:rsid w:val="7A7B940D"/>
    <w:rsid w:val="7AEC6D91"/>
    <w:rsid w:val="7BB97F3C"/>
    <w:rsid w:val="7DE44A0D"/>
    <w:rsid w:val="7EBE54E5"/>
    <w:rsid w:val="7EDB72BC"/>
    <w:rsid w:val="7F364571"/>
    <w:rsid w:val="7F7FAE4B"/>
    <w:rsid w:val="7FF66361"/>
    <w:rsid w:val="B3FFB45D"/>
    <w:rsid w:val="B6FB6A5C"/>
    <w:rsid w:val="BFFE37F1"/>
    <w:rsid w:val="CF9FCB14"/>
    <w:rsid w:val="D3DA868C"/>
    <w:rsid w:val="DFFF96D7"/>
    <w:rsid w:val="EBD29286"/>
    <w:rsid w:val="F5275B86"/>
    <w:rsid w:val="FF5FC86B"/>
    <w:rsid w:val="FFDF06EC"/>
    <w:rsid w:val="FFF1FB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公文小标宋" w:asciiTheme="minorAscii" w:hAnsiTheme="minorAscii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widowControl w:val="0"/>
      <w:suppressLineNumbers w:val="0"/>
      <w:spacing w:before="260" w:beforeLines="0" w:beforeAutospacing="0" w:after="260" w:afterLines="0" w:afterAutospacing="0" w:line="412" w:lineRule="auto"/>
      <w:jc w:val="both"/>
      <w:outlineLvl w:val="1"/>
    </w:pPr>
    <w:rPr>
      <w:rFonts w:hint="default" w:ascii="Arial" w:hAnsi="Arial" w:eastAsia="黑体" w:cs="Times New Roman"/>
      <w:b/>
      <w:bCs/>
      <w:kern w:val="2"/>
      <w:sz w:val="32"/>
      <w:szCs w:val="32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95</TotalTime>
  <ScaleCrop>false</ScaleCrop>
  <LinksUpToDate>false</LinksUpToDate>
  <Application>WPS Office_12.8.2.19315_F1E327BC-269C-435d-A152-05C5408002CA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2025-02-14T15:37:00Z</dcterms:created>
  <dc:creator>admin</dc:creator>
  <cp:lastModifiedBy>宋</cp:lastModifiedBy>
  <cp:lastPrinted>2025-02-21T02:17:00Z</cp:lastPrinted>
  <dcterms:modified xsi:type="dcterms:W3CDTF">2025-03-03T09:25:51Z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2052-12.8.2.19315</vt:lpwstr>
  </property>
  <property fmtid="{D5CDD505-2E9C-101B-9397-08002B2CF9AE}" pid="3" name="ICV">
    <vt:lpwstr>4E2CEA6A3D3D4CEEA07FCD2F71A2F80D_12</vt:lpwstr>
  </property>
</Properties>
</file>