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487" w:tblpY="2168"/>
        <w:tblW w:w="14174" w:type="dxa"/>
        <w:tblInd w:w="0" w:type="dxa"/>
        <w:tblLayout w:type="autofit"/>
        <w:tblCellMar>
          <w:top w:w="0" w:type="dxa"/>
          <w:left w:w="108" w:type="dxa"/>
          <w:bottom w:w="0" w:type="dxa"/>
          <w:right w:w="108" w:type="dxa"/>
        </w:tblCellMar>
      </w:tblPr>
      <w:tblGrid>
        <w:gridCol w:w="565"/>
        <w:gridCol w:w="1137"/>
        <w:gridCol w:w="1053"/>
        <w:gridCol w:w="1822"/>
        <w:gridCol w:w="3719"/>
        <w:gridCol w:w="1447"/>
        <w:gridCol w:w="1572"/>
        <w:gridCol w:w="1551"/>
        <w:gridCol w:w="1308"/>
      </w:tblGrid>
      <w:tr>
        <w:tblPrEx>
          <w:tblCellMar>
            <w:top w:w="0" w:type="dxa"/>
            <w:left w:w="108" w:type="dxa"/>
            <w:bottom w:w="0" w:type="dxa"/>
            <w:right w:w="108" w:type="dxa"/>
          </w:tblCellMar>
        </w:tblPrEx>
        <w:trPr>
          <w:trHeight w:val="660" w:hRule="atLeast"/>
        </w:trPr>
        <w:tc>
          <w:tcPr>
            <w:tcW w:w="12866" w:type="dxa"/>
            <w:gridSpan w:val="8"/>
            <w:tcBorders>
              <w:top w:val="nil"/>
              <w:left w:val="nil"/>
              <w:bottom w:val="single" w:color="auto" w:sz="4" w:space="0"/>
            </w:tcBorders>
            <w:shd w:val="clear" w:color="auto" w:fill="auto"/>
            <w:vAlign w:val="center"/>
          </w:tcPr>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 xml:space="preserve">    </w:t>
            </w:r>
            <w:bookmarkStart w:id="0" w:name="_GoBack"/>
            <w:r>
              <w:rPr>
                <w:rFonts w:hint="eastAsia" w:ascii="方正小标宋简体" w:hAnsi="宋体" w:eastAsia="方正小标宋简体" w:cs="宋体"/>
                <w:kern w:val="0"/>
                <w:sz w:val="40"/>
                <w:szCs w:val="40"/>
              </w:rPr>
              <w:t>台江生态环境局2020年“谁执法谁普法”责任清单</w:t>
            </w:r>
            <w:bookmarkEnd w:id="0"/>
          </w:p>
        </w:tc>
        <w:tc>
          <w:tcPr>
            <w:tcW w:w="1308" w:type="dxa"/>
            <w:tcBorders>
              <w:top w:val="nil"/>
              <w:bottom w:val="single" w:color="auto" w:sz="4" w:space="0"/>
            </w:tcBorders>
          </w:tcPr>
          <w:p>
            <w:pPr>
              <w:widowControl/>
              <w:jc w:val="center"/>
              <w:rPr>
                <w:rFonts w:ascii="方正小标宋简体" w:hAnsi="宋体" w:eastAsia="方正小标宋简体" w:cs="宋体"/>
                <w:kern w:val="0"/>
                <w:sz w:val="40"/>
                <w:szCs w:val="40"/>
              </w:rPr>
            </w:pPr>
          </w:p>
        </w:tc>
      </w:tr>
      <w:tr>
        <w:tblPrEx>
          <w:tblCellMar>
            <w:top w:w="0" w:type="dxa"/>
            <w:left w:w="108" w:type="dxa"/>
            <w:bottom w:w="0" w:type="dxa"/>
            <w:right w:w="108" w:type="dxa"/>
          </w:tblCellMar>
        </w:tblPrEx>
        <w:trPr>
          <w:trHeight w:val="720" w:hRule="atLeast"/>
        </w:trPr>
        <w:tc>
          <w:tcPr>
            <w:tcW w:w="5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1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普法责任主体</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普法类型</w:t>
            </w:r>
          </w:p>
        </w:tc>
        <w:tc>
          <w:tcPr>
            <w:tcW w:w="182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普法对象</w:t>
            </w:r>
          </w:p>
        </w:tc>
        <w:tc>
          <w:tcPr>
            <w:tcW w:w="371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普法内容</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载体阵地</w:t>
            </w: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普法方式</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普法节点</w:t>
            </w:r>
          </w:p>
        </w:tc>
        <w:tc>
          <w:tcPr>
            <w:tcW w:w="1308"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责任科室</w:t>
            </w:r>
          </w:p>
        </w:tc>
      </w:tr>
      <w:tr>
        <w:tblPrEx>
          <w:tblCellMar>
            <w:top w:w="0" w:type="dxa"/>
            <w:left w:w="108" w:type="dxa"/>
            <w:bottom w:w="0" w:type="dxa"/>
            <w:right w:w="108" w:type="dxa"/>
          </w:tblCellMar>
        </w:tblPrEx>
        <w:trPr>
          <w:trHeight w:val="813" w:hRule="atLeast"/>
        </w:trPr>
        <w:tc>
          <w:tcPr>
            <w:tcW w:w="5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1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台江生态环境局</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系统内普法</w:t>
            </w:r>
          </w:p>
        </w:tc>
        <w:tc>
          <w:tcPr>
            <w:tcW w:w="1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党组中心组、干部职工、执法人员、基层宗教工作干部</w:t>
            </w:r>
          </w:p>
        </w:tc>
        <w:tc>
          <w:tcPr>
            <w:tcW w:w="37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以《中华人民共和国固体废物污染环境防治法》《排污许可管理办法（试行）》等为重点的环保法律法规</w:t>
            </w:r>
          </w:p>
        </w:tc>
        <w:tc>
          <w:tcPr>
            <w:tcW w:w="14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企事业单位、电视、广播、报纸、微信公众号、网站、宣传册、宣传栏、LED屏等</w:t>
            </w:r>
          </w:p>
        </w:tc>
        <w:tc>
          <w:tcPr>
            <w:tcW w:w="15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1、编印环保法律法规宣传册发放；2、开展环保法律培训及讲座；3、运用媒体，特别是新媒体通过以案释法等方式开展普法宣传；4、设点宣传等方式。</w:t>
            </w:r>
          </w:p>
        </w:tc>
        <w:tc>
          <w:tcPr>
            <w:tcW w:w="1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一年两次</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办公室</w:t>
            </w:r>
          </w:p>
        </w:tc>
      </w:tr>
      <w:tr>
        <w:tblPrEx>
          <w:tblCellMar>
            <w:top w:w="0" w:type="dxa"/>
            <w:left w:w="108" w:type="dxa"/>
            <w:bottom w:w="0" w:type="dxa"/>
            <w:right w:w="108" w:type="dxa"/>
          </w:tblCellMar>
        </w:tblPrEx>
        <w:trPr>
          <w:trHeight w:val="1782"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20"/>
                <w:szCs w:val="20"/>
              </w:rPr>
            </w:pP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社会面普法</w:t>
            </w:r>
          </w:p>
        </w:tc>
        <w:tc>
          <w:tcPr>
            <w:tcW w:w="1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社会公众，尤其是企事业单位</w:t>
            </w:r>
          </w:p>
        </w:tc>
        <w:tc>
          <w:tcPr>
            <w:tcW w:w="37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中华人民共和国环境保护法》《中华人民共和国大气污染防治法》《中华人民共和国水污染防治法》《中华人民共和国土壤污染防治法》《中华人民共和国固体废物污染环境防治法》《中华人民共和国环境影响评价法》《建设项目环境保护管理条例》《排污许可管理办法（试行）》《最高人民法院 最高人民检察院关于办理环境污染刑事案件适用法律若干问题的解释》等为重点的环保法律法规</w:t>
            </w:r>
          </w:p>
        </w:tc>
        <w:tc>
          <w:tcPr>
            <w:tcW w:w="14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贯穿于环保执法全过程，向企业主宣传环保法律法规；2、以6·5世界环境日、12·4全国宪法宣传日等纪念日为契机，向公众宣传环保法律法规3、结合百姓身边突出生态环境问题专项整治行动等，向企业主宣传环保法律法规。</w:t>
            </w:r>
          </w:p>
        </w:tc>
        <w:tc>
          <w:tcPr>
            <w:tcW w:w="1308" w:type="dxa"/>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审批监管科</w:t>
            </w:r>
          </w:p>
        </w:tc>
      </w:tr>
      <w:tr>
        <w:tblPrEx>
          <w:tblCellMar>
            <w:top w:w="0" w:type="dxa"/>
            <w:left w:w="108" w:type="dxa"/>
            <w:bottom w:w="0" w:type="dxa"/>
            <w:right w:w="108" w:type="dxa"/>
          </w:tblCellMar>
        </w:tblPrEx>
        <w:trPr>
          <w:trHeight w:val="1962"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20"/>
                <w:szCs w:val="20"/>
              </w:rPr>
            </w:pP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执法过程中普法</w:t>
            </w:r>
          </w:p>
        </w:tc>
        <w:tc>
          <w:tcPr>
            <w:tcW w:w="1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企业主</w:t>
            </w:r>
          </w:p>
        </w:tc>
        <w:tc>
          <w:tcPr>
            <w:tcW w:w="37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0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大队</w:t>
            </w:r>
          </w:p>
        </w:tc>
      </w:tr>
    </w:tbl>
    <w:p>
      <w:pPr>
        <w:ind w:right="1120"/>
        <w:jc w:val="both"/>
        <w:rPr>
          <w:rFonts w:ascii="仿宋" w:hAnsi="仿宋" w:eastAsia="仿宋"/>
          <w:sz w:val="32"/>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720" w:num="1"/>
          <w:docGrid w:type="lines" w:linePitch="312" w:charSpace="0"/>
        </w:sectPr>
      </w:pPr>
    </w:p>
    <w:p>
      <w:pPr>
        <w:widowControl/>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ZWcsBAACc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7Is&#10;VmV2qAtQYeNjwNbUf/B97p7ygMksvFfR5jdKIlhHf08Xf2WfiMgflauyLLAksDYfEIc9fR4ipI/S&#10;W5KDmka8wMFXfryHNLbOLXma83faGMzzyrh/EoiZMyxzHznmKPW7fiK+880J9XR49zV1uOqUmE8O&#10;rc1rMgdxDnZzcAhR71ukthx4Qbg9JCQxcMsTRthpMF7aoG5asLwVz89D19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62Vn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752"/>
    <w:rsid w:val="00031DA9"/>
    <w:rsid w:val="001C6F2E"/>
    <w:rsid w:val="00204B81"/>
    <w:rsid w:val="003A0752"/>
    <w:rsid w:val="00432962"/>
    <w:rsid w:val="00526D1F"/>
    <w:rsid w:val="00A928D3"/>
    <w:rsid w:val="00C76E29"/>
    <w:rsid w:val="00D03FDD"/>
    <w:rsid w:val="00DC5D6B"/>
    <w:rsid w:val="00E16568"/>
    <w:rsid w:val="00E417AE"/>
    <w:rsid w:val="00E60114"/>
    <w:rsid w:val="00F656C1"/>
    <w:rsid w:val="00FE0F02"/>
    <w:rsid w:val="0D5610A4"/>
    <w:rsid w:val="3E8B1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eastAsia="宋体"/>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sz w:val="18"/>
    </w:rPr>
  </w:style>
  <w:style w:type="character" w:customStyle="1" w:styleId="6">
    <w:name w:val="页脚 Char"/>
    <w:basedOn w:val="5"/>
    <w:link w:val="2"/>
    <w:uiPriority w:val="99"/>
    <w:rPr>
      <w:rFonts w:eastAsia="宋体"/>
      <w:sz w:val="18"/>
    </w:rPr>
  </w:style>
  <w:style w:type="character" w:customStyle="1" w:styleId="7">
    <w:name w:val="页眉 Char"/>
    <w:basedOn w:val="5"/>
    <w:link w:val="3"/>
    <w:qFormat/>
    <w:uiPriority w:val="0"/>
    <w:rPr>
      <w:rFonts w:ascii="Times New Roman" w:hAnsi="Times New Roman"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9D468-DA15-4023-B1B5-28EF22A0800C}">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2</Pages>
  <Words>97</Words>
  <Characters>558</Characters>
  <Lines>4</Lines>
  <Paragraphs>1</Paragraphs>
  <TotalTime>1</TotalTime>
  <ScaleCrop>false</ScaleCrop>
  <LinksUpToDate>false</LinksUpToDate>
  <CharactersWithSpaces>654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2021-04-13T03:15:00Z</dcterms:created>
  <dc:creator>SkyUser</dc:creator>
  <cp:lastModifiedBy>林丽丽</cp:lastModifiedBy>
  <cp:lastPrinted>2020-06-30T04:31:00Z</cp:lastPrinted>
  <dcterms:modified xsi:type="dcterms:W3CDTF">2021-04-13T03:31:18Z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66E067C364FA46358777B2DFEBB73F9A</vt:lpwstr>
  </property>
</Properties>
</file>