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378"/>
        <w:gridCol w:w="2195"/>
        <w:gridCol w:w="3409"/>
        <w:gridCol w:w="1296"/>
        <w:gridCol w:w="1272"/>
        <w:gridCol w:w="1812"/>
        <w:gridCol w:w="1948"/>
        <w:gridCol w:w="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4060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256" w:rightChars="8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台江区人力资源和社会保障局202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年跨部门联合抽查事项清单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116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抽查主体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牵头部门及具体责任事项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参与部门及具体责任事项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8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对民办职业资格培训、职业技能培训学校的监督检查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《中华人民共和国民办教育促进法》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1.检查对象遵守有关法律法规情况；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2.检查对象严格按照许可范围及有关规范开展业务情况；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3.检查对象申请批设时提交材料的准确性和真实性；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4.被投诉举报事项情况核查；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5.检查对象是否引入具备从业条件的第三方技术服务机构，定期对学校的建筑物结构和校园消防安全等进行评估，并出具合格的评估报告；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6.机构的党建情况；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7.其他根据法律法规规章规定可以检查的内容。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职业能力建设科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职业技能培训机构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台江区人力资源和社会保障局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台江区民政局、台江区市场监督管理局</w:t>
            </w:r>
          </w:p>
        </w:tc>
      </w:tr>
    </w:tbl>
    <w:p>
      <w:r>
        <w:rPr>
          <w:rFonts w:hint="eastAsia" w:ascii="方正仿宋_GBK" w:hAnsi="方正仿宋_GBK"/>
          <w:spacing w:val="-10"/>
          <w:lang w:eastAsia="zh-CN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25250"/>
    <w:rsid w:val="03856FAC"/>
    <w:rsid w:val="2E925250"/>
    <w:rsid w:val="3C5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2025-04-08T01:16:00Z</dcterms:created>
  <dc:creator>须臾</dc:creator>
  <cp:lastModifiedBy>晞</cp:lastModifiedBy>
  <dcterms:modified xsi:type="dcterms:W3CDTF">2025-04-08T08:30:30Z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5458B86907BB432ABBF29193B5BAE9AC</vt:lpwstr>
  </property>
</Properties>
</file>