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Theme="minorEastAsia" w:hAnsiTheme="minorEastAsia" w:eastAsiaTheme="minorEastAsia"/>
          <w:b/>
          <w:spacing w:val="-6"/>
          <w:kern w:val="0"/>
          <w:sz w:val="32"/>
          <w:szCs w:val="32"/>
        </w:rPr>
      </w:pPr>
      <w:r>
        <w:rPr>
          <w:rFonts w:hint="eastAsia" w:asciiTheme="minorEastAsia" w:hAnsiTheme="minorEastAsia" w:eastAsiaTheme="minorEastAsia"/>
          <w:b/>
          <w:spacing w:val="-6"/>
          <w:kern w:val="0"/>
          <w:sz w:val="32"/>
          <w:szCs w:val="32"/>
        </w:rPr>
        <w:t>福州市台江区人民政府房屋征收决定书</w:t>
      </w:r>
    </w:p>
    <w:p>
      <w:pPr>
        <w:widowControl/>
        <w:snapToGrid w:val="0"/>
        <w:spacing w:line="580" w:lineRule="exact"/>
        <w:jc w:val="center"/>
        <w:rPr>
          <w:rFonts w:asciiTheme="minorEastAsia" w:hAnsiTheme="minorEastAsia" w:eastAsiaTheme="minorEastAsia"/>
          <w:spacing w:val="-6"/>
          <w:kern w:val="0"/>
          <w:sz w:val="32"/>
          <w:szCs w:val="32"/>
        </w:rPr>
      </w:pPr>
      <w:r>
        <w:rPr>
          <w:rFonts w:hint="eastAsia" w:asciiTheme="minorEastAsia" w:hAnsiTheme="minorEastAsia" w:eastAsiaTheme="minorEastAsia"/>
          <w:spacing w:val="-6"/>
          <w:kern w:val="0"/>
          <w:sz w:val="32"/>
          <w:szCs w:val="32"/>
        </w:rPr>
        <w:t>台政征〔</w:t>
      </w:r>
      <w:r>
        <w:rPr>
          <w:rFonts w:asciiTheme="minorEastAsia" w:hAnsiTheme="minorEastAsia" w:eastAsiaTheme="minorEastAsia"/>
          <w:spacing w:val="-6"/>
          <w:kern w:val="0"/>
          <w:sz w:val="32"/>
          <w:szCs w:val="32"/>
        </w:rPr>
        <w:t>20</w:t>
      </w:r>
      <w:r>
        <w:rPr>
          <w:rFonts w:hint="eastAsia" w:asciiTheme="minorEastAsia" w:hAnsiTheme="minorEastAsia" w:eastAsiaTheme="minorEastAsia"/>
          <w:spacing w:val="-6"/>
          <w:kern w:val="0"/>
          <w:sz w:val="32"/>
          <w:szCs w:val="32"/>
        </w:rPr>
        <w:t>2</w:t>
      </w:r>
      <w:r>
        <w:rPr>
          <w:rFonts w:hint="eastAsia" w:asciiTheme="minorEastAsia" w:hAnsiTheme="minorEastAsia" w:eastAsiaTheme="minorEastAsia"/>
          <w:spacing w:val="-6"/>
          <w:kern w:val="0"/>
          <w:sz w:val="32"/>
          <w:szCs w:val="32"/>
          <w:lang w:val="en-US" w:eastAsia="zh-CN"/>
        </w:rPr>
        <w:t>2</w:t>
      </w:r>
      <w:r>
        <w:rPr>
          <w:rFonts w:hint="eastAsia" w:asciiTheme="minorEastAsia" w:hAnsiTheme="minorEastAsia" w:eastAsiaTheme="minorEastAsia"/>
          <w:spacing w:val="-6"/>
          <w:kern w:val="0"/>
          <w:sz w:val="32"/>
          <w:szCs w:val="32"/>
        </w:rPr>
        <w:t>〕</w:t>
      </w:r>
      <w:r>
        <w:rPr>
          <w:rFonts w:hint="eastAsia" w:asciiTheme="minorEastAsia" w:hAnsiTheme="minorEastAsia" w:eastAsiaTheme="minorEastAsia"/>
          <w:spacing w:val="-6"/>
          <w:kern w:val="0"/>
          <w:sz w:val="32"/>
          <w:szCs w:val="32"/>
          <w:lang w:val="en-US" w:eastAsia="zh-CN"/>
        </w:rPr>
        <w:t>3</w:t>
      </w:r>
      <w:r>
        <w:rPr>
          <w:rFonts w:hint="eastAsia" w:asciiTheme="minorEastAsia" w:hAnsiTheme="minorEastAsia" w:eastAsiaTheme="minorEastAsia"/>
          <w:spacing w:val="-6"/>
          <w:kern w:val="0"/>
          <w:sz w:val="32"/>
          <w:szCs w:val="32"/>
        </w:rPr>
        <w:t>号</w:t>
      </w:r>
    </w:p>
    <w:p>
      <w:pPr>
        <w:widowControl/>
        <w:autoSpaceDN w:val="0"/>
        <w:snapToGrid w:val="0"/>
        <w:spacing w:line="580" w:lineRule="exact"/>
        <w:ind w:firstLine="601"/>
        <w:rPr>
          <w:rFonts w:asciiTheme="minorEastAsia" w:hAnsiTheme="minorEastAsia" w:eastAsia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因</w:t>
      </w:r>
      <w:r>
        <w:rPr>
          <w:rFonts w:hint="eastAsia" w:ascii="仿宋_GB2312" w:hAnsi="宋体" w:eastAsia="仿宋_GB2312"/>
          <w:color w:val="000000"/>
          <w:spacing w:val="-6"/>
          <w:kern w:val="0"/>
          <w:sz w:val="32"/>
          <w:szCs w:val="32"/>
          <w:lang w:val="en-US" w:eastAsia="zh-CN"/>
        </w:rPr>
        <w:t>上海西新村地块项目</w:t>
      </w:r>
      <w:r>
        <w:rPr>
          <w:rFonts w:hint="eastAsia" w:ascii="仿宋_GB2312" w:eastAsia="仿宋_GB2312" w:hAnsiTheme="minorEastAsia"/>
          <w:spacing w:val="-6"/>
          <w:kern w:val="0"/>
          <w:sz w:val="32"/>
          <w:szCs w:val="32"/>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一、征收范围：</w:t>
      </w:r>
      <w:r>
        <w:rPr>
          <w:rFonts w:hint="eastAsia" w:ascii="仿宋_GB2312" w:hAnsi="宋体" w:eastAsia="仿宋_GB2312"/>
          <w:color w:val="000000"/>
          <w:spacing w:val="-6"/>
          <w:kern w:val="0"/>
          <w:sz w:val="32"/>
          <w:szCs w:val="32"/>
          <w:lang w:val="en-US" w:eastAsia="zh-CN"/>
        </w:rPr>
        <w:t>上海西新村地块项目</w:t>
      </w:r>
      <w:r>
        <w:rPr>
          <w:rFonts w:hint="eastAsia" w:ascii="仿宋_GB2312" w:eastAsia="仿宋_GB2312" w:hAnsiTheme="minorEastAsia"/>
          <w:spacing w:val="-6"/>
          <w:kern w:val="0"/>
          <w:sz w:val="32"/>
          <w:szCs w:val="32"/>
        </w:rPr>
        <w:t>(具体范围以红线图为准)。</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二、房屋征收部门：福州市台江区住房保障和房产管理局。</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2"/>
          <w:szCs w:val="32"/>
        </w:rPr>
        <w:t>三、签约期限：20</w:t>
      </w:r>
      <w:r>
        <w:rPr>
          <w:rFonts w:hint="eastAsia" w:ascii="仿宋_GB2312" w:eastAsia="仿宋_GB2312" w:hAnsiTheme="minorEastAsia"/>
          <w:spacing w:val="-6"/>
          <w:kern w:val="0"/>
          <w:sz w:val="32"/>
          <w:szCs w:val="32"/>
          <w:lang w:val="en-US" w:eastAsia="zh-CN"/>
        </w:rPr>
        <w:t>22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5</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日。</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四、房屋征收补偿方案：详见附件。</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特此决定</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附 : 房屋征收补偿方案。</w:t>
      </w: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5</w:t>
      </w:r>
      <w:r>
        <w:rPr>
          <w:rFonts w:hint="eastAsia" w:ascii="仿宋_GB2312" w:eastAsia="仿宋_GB2312" w:hAnsiTheme="minorEastAsia"/>
          <w:spacing w:val="-6"/>
          <w:kern w:val="0"/>
          <w:sz w:val="32"/>
          <w:szCs w:val="32"/>
        </w:rPr>
        <w:t>日</w:t>
      </w:r>
    </w:p>
    <w:p>
      <w:pPr>
        <w:ind w:firstLine="4620" w:firstLineChars="150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rPr>
          <w:rFonts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asciiTheme="minorEastAsia" w:hAnsiTheme="minorEastAsia" w:eastAsiaTheme="minorEastAsia"/>
          <w:spacing w:val="-6"/>
          <w:kern w:val="0"/>
          <w:sz w:val="32"/>
          <w:szCs w:val="32"/>
        </w:rPr>
      </w:pPr>
    </w:p>
    <w:p>
      <w:pPr>
        <w:widowControl/>
        <w:autoSpaceDN w:val="0"/>
        <w:snapToGrid w:val="0"/>
        <w:spacing w:line="600" w:lineRule="atLeast"/>
        <w:ind w:firstLine="1922" w:firstLineChars="550"/>
        <w:rPr>
          <w:rFonts w:asciiTheme="minorEastAsia" w:hAnsiTheme="minorEastAsia" w:eastAsiaTheme="minorEastAsia"/>
          <w:b/>
          <w:spacing w:val="-6"/>
          <w:kern w:val="0"/>
          <w:sz w:val="36"/>
          <w:szCs w:val="36"/>
        </w:rPr>
      </w:pPr>
      <w:r>
        <w:rPr>
          <w:rFonts w:hint="eastAsia" w:asciiTheme="minorEastAsia" w:hAnsiTheme="minorEastAsia" w:eastAsiaTheme="minorEastAsia"/>
          <w:b/>
          <w:spacing w:val="-6"/>
          <w:kern w:val="0"/>
          <w:sz w:val="36"/>
          <w:szCs w:val="36"/>
        </w:rPr>
        <w:t>福州市台江区人民政府房屋征收公告</w:t>
      </w:r>
    </w:p>
    <w:p>
      <w:pPr>
        <w:widowControl/>
        <w:autoSpaceDN w:val="0"/>
        <w:snapToGrid w:val="0"/>
        <w:spacing w:line="580" w:lineRule="exact"/>
        <w:ind w:firstLine="560" w:firstLineChars="200"/>
        <w:rPr>
          <w:rFonts w:asciiTheme="minorEastAsia" w:hAnsiTheme="minorEastAsia" w:eastAsiaTheme="minorEastAsia"/>
          <w:color w:val="000000"/>
          <w:sz w:val="28"/>
          <w:szCs w:val="28"/>
          <w:shd w:val="clear" w:color="auto" w:fill="FFFFFF"/>
        </w:rPr>
      </w:pPr>
    </w:p>
    <w:p>
      <w:pPr>
        <w:widowControl/>
        <w:autoSpaceDN w:val="0"/>
        <w:snapToGrid w:val="0"/>
        <w:spacing w:line="580" w:lineRule="exact"/>
        <w:ind w:firstLine="576" w:firstLineChars="200"/>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因</w:t>
      </w:r>
      <w:r>
        <w:rPr>
          <w:rFonts w:hint="eastAsia" w:ascii="仿宋_GB2312" w:hAnsi="宋体" w:eastAsia="仿宋_GB2312"/>
          <w:color w:val="000000"/>
          <w:spacing w:val="-6"/>
          <w:kern w:val="0"/>
          <w:sz w:val="32"/>
          <w:szCs w:val="32"/>
          <w:lang w:val="en-US" w:eastAsia="zh-CN"/>
        </w:rPr>
        <w:t>上海西新村地块项目</w:t>
      </w:r>
      <w:r>
        <w:rPr>
          <w:rFonts w:hint="eastAsia" w:ascii="仿宋_GB2312" w:eastAsia="仿宋_GB2312" w:hAnsiTheme="minorEastAsia"/>
          <w:spacing w:val="-6"/>
          <w:kern w:val="0"/>
          <w:sz w:val="30"/>
          <w:szCs w:val="30"/>
        </w:rPr>
        <w:t>建设需要，经福州市台江区人民政府台政征〔202</w:t>
      </w:r>
      <w:r>
        <w:rPr>
          <w:rFonts w:hint="eastAsia" w:ascii="仿宋_GB2312" w:eastAsia="仿宋_GB2312" w:hAnsiTheme="minorEastAsia"/>
          <w:spacing w:val="-6"/>
          <w:kern w:val="0"/>
          <w:sz w:val="30"/>
          <w:szCs w:val="30"/>
          <w:lang w:val="en-US" w:eastAsia="zh-CN"/>
        </w:rPr>
        <w:t>2</w:t>
      </w:r>
      <w:r>
        <w:rPr>
          <w:rFonts w:hint="eastAsia" w:ascii="仿宋_GB2312" w:eastAsia="仿宋_GB2312" w:hAnsiTheme="minorEastAsia"/>
          <w:spacing w:val="-6"/>
          <w:kern w:val="0"/>
          <w:sz w:val="30"/>
          <w:szCs w:val="30"/>
        </w:rPr>
        <w:t>〕</w:t>
      </w:r>
      <w:r>
        <w:rPr>
          <w:rFonts w:hint="eastAsia" w:ascii="仿宋_GB2312" w:eastAsia="仿宋_GB2312" w:hAnsiTheme="minorEastAsia"/>
          <w:spacing w:val="-6"/>
          <w:kern w:val="0"/>
          <w:sz w:val="30"/>
          <w:szCs w:val="30"/>
          <w:lang w:val="en-US" w:eastAsia="zh-CN"/>
        </w:rPr>
        <w:t>3</w:t>
      </w:r>
      <w:r>
        <w:rPr>
          <w:rFonts w:hint="eastAsia" w:ascii="仿宋_GB2312" w:eastAsia="仿宋_GB2312" w:hAnsiTheme="minorEastAsia"/>
          <w:spacing w:val="-6"/>
          <w:kern w:val="0"/>
          <w:sz w:val="30"/>
          <w:szCs w:val="30"/>
        </w:rPr>
        <w:t xml:space="preserve">号文件批准，决定对下列范围内国有土地上的房屋实施征收。根据国务院《国有土地上房屋征收与补偿条例》规定，现将有关事项公告如下： </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20"/>
          <w:kern w:val="0"/>
          <w:sz w:val="30"/>
          <w:szCs w:val="30"/>
        </w:rPr>
        <w:t>一、建设项目</w:t>
      </w:r>
      <w:r>
        <w:rPr>
          <w:rFonts w:hint="eastAsia" w:ascii="仿宋_GB2312" w:eastAsia="仿宋_GB2312" w:hAnsiTheme="minorEastAsia"/>
          <w:spacing w:val="-6"/>
          <w:kern w:val="0"/>
          <w:sz w:val="30"/>
          <w:szCs w:val="30"/>
        </w:rPr>
        <w:t>：</w:t>
      </w:r>
      <w:r>
        <w:rPr>
          <w:rFonts w:hint="eastAsia" w:ascii="仿宋_GB2312" w:hAnsi="宋体" w:eastAsia="仿宋_GB2312"/>
          <w:color w:val="000000"/>
          <w:spacing w:val="-6"/>
          <w:kern w:val="0"/>
          <w:sz w:val="32"/>
          <w:szCs w:val="32"/>
          <w:lang w:val="en-US" w:eastAsia="zh-CN"/>
        </w:rPr>
        <w:t>上海西新村地块项目</w:t>
      </w:r>
      <w:r>
        <w:rPr>
          <w:rFonts w:hint="eastAsia" w:ascii="仿宋_GB2312" w:eastAsia="仿宋_GB2312" w:hAnsiTheme="minorEastAsia"/>
          <w:spacing w:val="-6"/>
          <w:kern w:val="0"/>
          <w:sz w:val="30"/>
          <w:szCs w:val="30"/>
        </w:rPr>
        <w:t xml:space="preserve">。 </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二、征收范围：</w:t>
      </w:r>
      <w:r>
        <w:rPr>
          <w:rFonts w:hint="eastAsia" w:ascii="仿宋_GB2312" w:hAnsi="宋体" w:eastAsia="仿宋_GB2312"/>
          <w:color w:val="000000"/>
          <w:spacing w:val="-6"/>
          <w:kern w:val="0"/>
          <w:sz w:val="32"/>
          <w:szCs w:val="32"/>
          <w:lang w:val="en-US" w:eastAsia="zh-CN"/>
        </w:rPr>
        <w:t>上海西新村地块项目</w:t>
      </w:r>
      <w:r>
        <w:rPr>
          <w:rFonts w:hint="eastAsia" w:ascii="仿宋_GB2312" w:eastAsia="仿宋_GB2312" w:hAnsiTheme="minorEastAsia"/>
          <w:spacing w:val="-6"/>
          <w:kern w:val="0"/>
          <w:sz w:val="30"/>
          <w:szCs w:val="30"/>
        </w:rPr>
        <w:t>范围内所有房屋 (具体范围以红线图为准)。</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cs="宋体" w:hAnsiTheme="minorEastAsia"/>
          <w:spacing w:val="-6"/>
          <w:kern w:val="0"/>
          <w:sz w:val="30"/>
          <w:szCs w:val="30"/>
        </w:rPr>
        <w:t>三</w:t>
      </w:r>
      <w:r>
        <w:rPr>
          <w:rFonts w:hint="eastAsia" w:ascii="仿宋_GB2312" w:eastAsia="仿宋_GB2312" w:hAnsiTheme="minorEastAsia"/>
          <w:spacing w:val="-6"/>
          <w:kern w:val="0"/>
          <w:sz w:val="30"/>
          <w:szCs w:val="30"/>
        </w:rPr>
        <w:t>、房屋征收部门：福州市台江区住房保障和房产管理局</w:t>
      </w:r>
    </w:p>
    <w:p>
      <w:pPr>
        <w:widowControl/>
        <w:snapToGrid w:val="0"/>
        <w:spacing w:line="580" w:lineRule="exact"/>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电话： 83207220。</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四、房屋征收实施单位：福州市台江区</w:t>
      </w:r>
      <w:r>
        <w:rPr>
          <w:rFonts w:hint="eastAsia" w:ascii="仿宋_GB2312" w:eastAsia="仿宋_GB2312" w:hAnsiTheme="minorEastAsia"/>
          <w:spacing w:val="-6"/>
          <w:kern w:val="0"/>
          <w:sz w:val="30"/>
          <w:szCs w:val="30"/>
          <w:lang w:eastAsia="zh-CN"/>
        </w:rPr>
        <w:t>城建</w:t>
      </w:r>
      <w:r>
        <w:rPr>
          <w:rFonts w:hint="eastAsia" w:ascii="仿宋_GB2312" w:eastAsia="仿宋_GB2312" w:hAnsiTheme="minorEastAsia"/>
          <w:spacing w:val="-6"/>
          <w:kern w:val="0"/>
          <w:sz w:val="30"/>
          <w:szCs w:val="30"/>
        </w:rPr>
        <w:t>征收工程</w:t>
      </w:r>
      <w:r>
        <w:rPr>
          <w:rFonts w:hint="eastAsia" w:ascii="仿宋_GB2312" w:eastAsia="仿宋_GB2312" w:hAnsiTheme="minorEastAsia"/>
          <w:spacing w:val="-6"/>
          <w:kern w:val="0"/>
          <w:sz w:val="30"/>
          <w:szCs w:val="30"/>
          <w:lang w:val="en-US" w:eastAsia="zh-CN"/>
        </w:rPr>
        <w:t>有限公司</w:t>
      </w:r>
      <w:r>
        <w:rPr>
          <w:rFonts w:hint="eastAsia" w:ascii="仿宋_GB2312" w:eastAsia="仿宋_GB2312" w:hAnsiTheme="minorEastAsia"/>
          <w:spacing w:val="-6"/>
          <w:kern w:val="0"/>
          <w:sz w:val="30"/>
          <w:szCs w:val="30"/>
        </w:rPr>
        <w:t>（办公地址：</w:t>
      </w:r>
      <w:r>
        <w:rPr>
          <w:rFonts w:hint="eastAsia" w:ascii="仿宋_GB2312" w:eastAsia="仿宋_GB2312" w:hAnsiTheme="minorEastAsia"/>
          <w:spacing w:val="-6"/>
          <w:kern w:val="0"/>
          <w:sz w:val="30"/>
          <w:szCs w:val="30"/>
          <w:lang w:val="en-US" w:eastAsia="zh-CN"/>
        </w:rPr>
        <w:t>台江区万科广场S1-2座5层</w:t>
      </w:r>
      <w:r>
        <w:rPr>
          <w:rFonts w:hint="eastAsia" w:ascii="仿宋_GB2312" w:eastAsia="仿宋_GB2312" w:hAnsiTheme="minorEastAsia"/>
          <w:spacing w:val="-6"/>
          <w:kern w:val="0"/>
          <w:sz w:val="30"/>
          <w:szCs w:val="30"/>
        </w:rPr>
        <w:t>）。</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 xml:space="preserve">五、房屋征收补偿方案：详见附件。 </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20"/>
          <w:kern w:val="0"/>
          <w:sz w:val="30"/>
          <w:szCs w:val="30"/>
        </w:rPr>
        <w:t>六、签约期限</w:t>
      </w:r>
      <w:r>
        <w:rPr>
          <w:rFonts w:hint="eastAsia" w:ascii="仿宋_GB2312" w:eastAsia="仿宋_GB2312" w:hAnsiTheme="minorEastAsia"/>
          <w:spacing w:val="-6"/>
          <w:kern w:val="0"/>
          <w:sz w:val="30"/>
          <w:szCs w:val="30"/>
        </w:rPr>
        <w:t>：</w:t>
      </w: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5</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日。</w:t>
      </w:r>
    </w:p>
    <w:p>
      <w:pPr>
        <w:widowControl/>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0"/>
          <w:szCs w:val="30"/>
        </w:rPr>
        <w:t>七、被征收人如不服本房屋征收决定，可在公告发布之日起60日内向上级人民政府申请行政复议，或在</w:t>
      </w:r>
      <w:r>
        <w:rPr>
          <w:rFonts w:hint="eastAsia" w:ascii="仿宋_GB2312" w:eastAsia="仿宋_GB2312" w:hAnsiTheme="minorEastAsia"/>
          <w:spacing w:val="-6"/>
          <w:kern w:val="0"/>
          <w:sz w:val="30"/>
          <w:szCs w:val="30"/>
          <w:lang w:eastAsia="zh-CN"/>
        </w:rPr>
        <w:t>六</w:t>
      </w:r>
      <w:r>
        <w:rPr>
          <w:rFonts w:hint="eastAsia" w:ascii="仿宋_GB2312" w:eastAsia="仿宋_GB2312" w:hAnsiTheme="minorEastAsia"/>
          <w:spacing w:val="-6"/>
          <w:kern w:val="0"/>
          <w:sz w:val="30"/>
          <w:szCs w:val="30"/>
        </w:rPr>
        <w:t xml:space="preserve">个月内向人民法院提起行政诉讼。 </w:t>
      </w:r>
    </w:p>
    <w:p>
      <w:pPr>
        <w:widowControl/>
        <w:snapToGrid w:val="0"/>
        <w:spacing w:line="580" w:lineRule="exact"/>
        <w:jc w:val="left"/>
        <w:rPr>
          <w:rFonts w:hint="eastAsia" w:ascii="仿宋_GB2312" w:eastAsia="仿宋_GB2312" w:hAnsiTheme="minorEastAsia"/>
          <w:spacing w:val="-6"/>
          <w:kern w:val="0"/>
          <w:sz w:val="30"/>
          <w:szCs w:val="30"/>
        </w:rPr>
      </w:pPr>
    </w:p>
    <w:p>
      <w:pPr>
        <w:widowControl/>
        <w:snapToGrid w:val="0"/>
        <w:spacing w:line="580" w:lineRule="exact"/>
        <w:jc w:val="left"/>
        <w:rPr>
          <w:rFonts w:hint="eastAsia" w:ascii="仿宋_GB2312" w:eastAsia="仿宋_GB2312" w:hAnsiTheme="minorEastAsia"/>
          <w:spacing w:val="-6"/>
          <w:kern w:val="0"/>
          <w:sz w:val="30"/>
          <w:szCs w:val="30"/>
        </w:rPr>
      </w:pPr>
    </w:p>
    <w:p>
      <w:pPr>
        <w:widowControl/>
        <w:autoSpaceDN w:val="0"/>
        <w:snapToGrid w:val="0"/>
        <w:spacing w:line="580" w:lineRule="exact"/>
        <w:ind w:firstLine="6314" w:firstLineChars="205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ind w:firstLine="6314" w:firstLineChars="205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8</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5</w:t>
      </w:r>
      <w:r>
        <w:rPr>
          <w:rFonts w:hint="eastAsia" w:ascii="仿宋_GB2312" w:eastAsia="仿宋_GB2312" w:hAnsiTheme="minorEastAsia"/>
          <w:spacing w:val="-6"/>
          <w:kern w:val="0"/>
          <w:sz w:val="32"/>
          <w:szCs w:val="32"/>
        </w:rPr>
        <w:t>日</w:t>
      </w: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80" w:firstLineChars="200"/>
        <w:jc w:val="right"/>
        <w:textAlignment w:val="auto"/>
        <w:rPr>
          <w:rFonts w:ascii="仿宋" w:hAnsi="仿宋" w:eastAsia="仿宋"/>
          <w:color w:val="auto"/>
          <w:sz w:val="24"/>
          <w:szCs w:val="28"/>
          <w:highlight w:val="none"/>
          <w:u w:val="none"/>
        </w:rPr>
      </w:pPr>
    </w:p>
    <w:p>
      <w:pPr>
        <w:keepNext w:val="0"/>
        <w:keepLines w:val="0"/>
        <w:pageBreakBefore w:val="0"/>
        <w:shd w:val="clear" w:color="auto" w:fill="FFFFFF"/>
        <w:kinsoku/>
        <w:wordWrap/>
        <w:overflowPunct/>
        <w:topLinePunct w:val="0"/>
        <w:autoSpaceDE/>
        <w:autoSpaceDN/>
        <w:bidi w:val="0"/>
        <w:adjustRightInd/>
        <w:snapToGrid w:val="0"/>
        <w:spacing w:line="240" w:lineRule="auto"/>
        <w:jc w:val="center"/>
        <w:textAlignment w:val="auto"/>
        <w:rPr>
          <w:rFonts w:ascii="仿宋" w:hAnsi="仿宋" w:eastAsia="仿宋" w:cs="宋体"/>
          <w:b/>
          <w:color w:val="auto"/>
          <w:sz w:val="36"/>
          <w:szCs w:val="36"/>
          <w:highlight w:val="none"/>
          <w:u w:val="none"/>
          <w:shd w:val="clear" w:color="auto" w:fill="FFFFFF"/>
        </w:rPr>
      </w:pPr>
      <w:r>
        <w:rPr>
          <w:rFonts w:hint="eastAsia" w:ascii="仿宋" w:hAnsi="仿宋" w:eastAsia="仿宋" w:cs="宋体"/>
          <w:b/>
          <w:color w:val="auto"/>
          <w:sz w:val="36"/>
          <w:szCs w:val="36"/>
          <w:highlight w:val="none"/>
          <w:u w:val="none"/>
          <w:shd w:val="clear" w:color="auto" w:fill="FFFFFF"/>
          <w:lang w:val="en-US" w:eastAsia="zh-CN"/>
        </w:rPr>
        <w:t>上海西新村地块项目</w:t>
      </w:r>
      <w:r>
        <w:rPr>
          <w:rFonts w:hint="eastAsia" w:ascii="仿宋" w:hAnsi="仿宋" w:eastAsia="仿宋" w:cs="宋体"/>
          <w:b/>
          <w:color w:val="auto"/>
          <w:sz w:val="36"/>
          <w:szCs w:val="36"/>
          <w:highlight w:val="none"/>
          <w:u w:val="none"/>
          <w:shd w:val="clear" w:color="auto" w:fill="FFFFFF"/>
        </w:rPr>
        <w:t>国有土地上房屋</w:t>
      </w:r>
      <w:r>
        <w:rPr>
          <w:rFonts w:hint="eastAsia" w:ascii="仿宋" w:hAnsi="仿宋" w:eastAsia="仿宋" w:cs="宋体"/>
          <w:b/>
          <w:color w:val="auto"/>
          <w:sz w:val="36"/>
          <w:szCs w:val="36"/>
          <w:highlight w:val="none"/>
          <w:u w:val="none"/>
          <w:shd w:val="clear" w:color="auto" w:fill="FFFFFF"/>
          <w:lang w:val="en-US" w:eastAsia="zh-CN"/>
        </w:rPr>
        <w:t>征收</w:t>
      </w:r>
      <w:r>
        <w:rPr>
          <w:rFonts w:hint="eastAsia" w:ascii="仿宋" w:hAnsi="仿宋" w:eastAsia="仿宋" w:cs="宋体"/>
          <w:b/>
          <w:color w:val="auto"/>
          <w:sz w:val="36"/>
          <w:szCs w:val="36"/>
          <w:highlight w:val="none"/>
          <w:u w:val="none"/>
          <w:shd w:val="clear" w:color="auto" w:fill="FFFFFF"/>
        </w:rPr>
        <w:t>补偿方案</w:t>
      </w: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宋体"/>
          <w:color w:val="auto"/>
          <w:sz w:val="24"/>
          <w:szCs w:val="28"/>
          <w:highlight w:val="none"/>
          <w:u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560" w:firstLineChars="200"/>
        <w:textAlignment w:val="auto"/>
        <w:rPr>
          <w:rFonts w:ascii="仿宋" w:hAnsi="仿宋" w:eastAsia="仿宋" w:cs="宋体"/>
          <w:color w:val="auto"/>
          <w:sz w:val="28"/>
          <w:szCs w:val="28"/>
          <w:highlight w:val="none"/>
          <w:u w:val="none"/>
          <w:shd w:val="clear" w:color="auto" w:fill="FFFFFF"/>
        </w:rPr>
      </w:pPr>
      <w:r>
        <w:rPr>
          <w:rFonts w:hint="eastAsia" w:ascii="仿宋" w:hAnsi="仿宋" w:eastAsia="仿宋" w:cs="宋体"/>
          <w:color w:val="auto"/>
          <w:sz w:val="28"/>
          <w:szCs w:val="28"/>
          <w:highlight w:val="none"/>
          <w:u w:val="none"/>
          <w:shd w:val="clear" w:color="auto" w:fill="FFFFFF"/>
        </w:rPr>
        <w:t>因</w:t>
      </w:r>
      <w:r>
        <w:rPr>
          <w:rFonts w:hint="eastAsia" w:ascii="仿宋" w:hAnsi="仿宋" w:eastAsia="仿宋" w:cs="宋体"/>
          <w:color w:val="auto"/>
          <w:sz w:val="28"/>
          <w:szCs w:val="28"/>
          <w:highlight w:val="none"/>
          <w:u w:val="none"/>
          <w:shd w:val="clear" w:color="auto" w:fill="FFFFFF"/>
          <w:lang w:eastAsia="zh-CN"/>
        </w:rPr>
        <w:t>上海西新村地块项目</w:t>
      </w:r>
      <w:r>
        <w:rPr>
          <w:rFonts w:hint="eastAsia" w:ascii="仿宋" w:hAnsi="仿宋" w:eastAsia="仿宋" w:cs="宋体"/>
          <w:color w:val="auto"/>
          <w:sz w:val="28"/>
          <w:szCs w:val="28"/>
          <w:highlight w:val="none"/>
          <w:u w:val="none"/>
          <w:shd w:val="clear" w:color="auto" w:fill="FFFFFF"/>
        </w:rPr>
        <w:t>建设需要，福州市台江区人民政府决定征收该项目规划红线范围内国有土地上的所有房屋，现根据国务院《国有土地上房屋征收与补偿条例》和福州市人民政府办公厅发布的《福州市房屋征收补偿实施细则》、《福州市房屋征收补偿实施细则补充规定》、《福州市人民政府办公厅关于加大住宅房屋征收货币化补偿安置的意见（试行）》、《福州市住房保障和房产管理局、福州市财政局关于加大住宅房屋征收货币化补偿安置的实施细则（试行）》、</w:t>
      </w:r>
      <w:r>
        <w:rPr>
          <w:rFonts w:ascii="仿宋" w:hAnsi="仿宋" w:eastAsia="仿宋" w:cs="宋体"/>
          <w:color w:val="auto"/>
          <w:sz w:val="28"/>
          <w:szCs w:val="28"/>
          <w:highlight w:val="none"/>
          <w:u w:val="none"/>
          <w:shd w:val="clear" w:color="auto" w:fill="FFFFFF"/>
        </w:rPr>
        <w:t>《进一步完善旧屋区改造统筹</w:t>
      </w:r>
      <w:r>
        <w:rPr>
          <w:rFonts w:hint="eastAsia" w:ascii="仿宋" w:hAnsi="仿宋" w:eastAsia="仿宋" w:cs="宋体"/>
          <w:color w:val="auto"/>
          <w:sz w:val="28"/>
          <w:szCs w:val="28"/>
          <w:highlight w:val="none"/>
          <w:u w:val="none"/>
          <w:shd w:val="clear" w:color="auto" w:fill="FFFFFF"/>
        </w:rPr>
        <w:t>安</w:t>
      </w:r>
      <w:r>
        <w:rPr>
          <w:rFonts w:ascii="仿宋" w:hAnsi="仿宋" w:eastAsia="仿宋" w:cs="宋体"/>
          <w:color w:val="auto"/>
          <w:sz w:val="28"/>
          <w:szCs w:val="28"/>
          <w:highlight w:val="none"/>
          <w:u w:val="none"/>
          <w:shd w:val="clear" w:color="auto" w:fill="FFFFFF"/>
        </w:rPr>
        <w:t>排调度机制的实施意见（试行）》、</w:t>
      </w:r>
      <w:r>
        <w:rPr>
          <w:rFonts w:hint="eastAsia" w:ascii="仿宋" w:hAnsi="仿宋" w:eastAsia="仿宋" w:cs="宋体"/>
          <w:color w:val="auto"/>
          <w:sz w:val="28"/>
          <w:szCs w:val="28"/>
          <w:highlight w:val="none"/>
          <w:u w:val="none"/>
          <w:shd w:val="clear" w:color="auto" w:fill="FFFFFF"/>
        </w:rPr>
        <w:t>《关于调整完善工业企业征收政策的意见》、《关于进一步盘活使用统建和配建安置房源的实施意见》等相关规定，结合本项目的实际情况，现特制定如下房屋征收补偿方案。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shd w:val="clear" w:color="auto" w:fill="FFFFFF"/>
        </w:rPr>
        <w:t>（一）被征收人选择货币补偿并按整体区位评估方式结算货币补偿金额的，货币补偿金额</w:t>
      </w:r>
      <w:r>
        <w:rPr>
          <w:rFonts w:hint="eastAsia" w:ascii="仿宋" w:hAnsi="仿宋" w:eastAsia="仿宋" w:cs="仿宋"/>
          <w:i w:val="0"/>
          <w:iCs w:val="0"/>
          <w:caps w:val="0"/>
          <w:color w:val="333333"/>
          <w:spacing w:val="0"/>
          <w:sz w:val="28"/>
          <w:szCs w:val="28"/>
          <w:u w:val="none"/>
          <w:shd w:val="clear" w:color="auto" w:fill="FFFFFF"/>
          <w:lang w:val="en-US"/>
        </w:rPr>
        <w:t>=</w:t>
      </w:r>
      <w:r>
        <w:rPr>
          <w:rFonts w:hint="eastAsia" w:ascii="仿宋" w:hAnsi="仿宋" w:eastAsia="仿宋" w:cs="仿宋"/>
          <w:i w:val="0"/>
          <w:iCs w:val="0"/>
          <w:caps w:val="0"/>
          <w:color w:val="333333"/>
          <w:spacing w:val="0"/>
          <w:sz w:val="28"/>
          <w:szCs w:val="28"/>
          <w:u w:val="none"/>
          <w:shd w:val="clear" w:color="auto" w:fill="FFFFFF"/>
        </w:rPr>
        <w:t>确认的房屋合法建筑面积×（住宅区位价</w:t>
      </w:r>
      <w:r>
        <w:rPr>
          <w:rFonts w:hint="eastAsia" w:ascii="仿宋" w:hAnsi="仿宋" w:eastAsia="仿宋" w:cs="仿宋"/>
          <w:i w:val="0"/>
          <w:iCs w:val="0"/>
          <w:caps w:val="0"/>
          <w:color w:val="333333"/>
          <w:spacing w:val="0"/>
          <w:sz w:val="28"/>
          <w:szCs w:val="28"/>
          <w:u w:val="none"/>
          <w:shd w:val="clear" w:color="auto" w:fill="FFFFFF"/>
          <w:lang w:val="en-US"/>
        </w:rPr>
        <w:t>+</w:t>
      </w:r>
      <w:r>
        <w:rPr>
          <w:rFonts w:hint="eastAsia" w:ascii="仿宋" w:hAnsi="仿宋" w:eastAsia="仿宋" w:cs="仿宋"/>
          <w:i w:val="0"/>
          <w:iCs w:val="0"/>
          <w:caps w:val="0"/>
          <w:color w:val="333333"/>
          <w:spacing w:val="0"/>
          <w:sz w:val="28"/>
          <w:szCs w:val="28"/>
          <w:u w:val="none"/>
          <w:shd w:val="clear" w:color="auto" w:fill="FFFFFF"/>
        </w:rPr>
        <w:t>被征收房屋建安综合单价×成新率），同时根据确权建筑面积给予货币奖励</w:t>
      </w:r>
      <w:r>
        <w:rPr>
          <w:rFonts w:hint="eastAsia" w:ascii="仿宋" w:hAnsi="仿宋" w:eastAsia="仿宋" w:cs="仿宋"/>
          <w:i w:val="0"/>
          <w:iCs w:val="0"/>
          <w:caps w:val="0"/>
          <w:color w:val="333333"/>
          <w:spacing w:val="0"/>
          <w:sz w:val="28"/>
          <w:szCs w:val="28"/>
          <w:u w:val="none"/>
          <w:shd w:val="clear" w:color="auto" w:fill="FFFFFF"/>
          <w:lang w:val="en-US" w:eastAsia="zh-CN"/>
        </w:rPr>
        <w:t>3527</w:t>
      </w:r>
      <w:r>
        <w:rPr>
          <w:rFonts w:hint="eastAsia" w:ascii="仿宋" w:hAnsi="仿宋" w:eastAsia="仿宋" w:cs="仿宋"/>
          <w:i w:val="0"/>
          <w:iCs w:val="0"/>
          <w:caps w:val="0"/>
          <w:color w:val="333333"/>
          <w:spacing w:val="0"/>
          <w:sz w:val="28"/>
          <w:szCs w:val="28"/>
          <w:u w:val="none"/>
          <w:shd w:val="clear" w:color="auto" w:fill="FFFFFF"/>
        </w:rPr>
        <w:t>元</w:t>
      </w:r>
      <w:r>
        <w:rPr>
          <w:rFonts w:hint="eastAsia" w:ascii="仿宋" w:hAnsi="仿宋" w:eastAsia="仿宋" w:cs="仿宋"/>
          <w:i w:val="0"/>
          <w:iCs w:val="0"/>
          <w:caps w:val="0"/>
          <w:color w:val="333333"/>
          <w:spacing w:val="0"/>
          <w:sz w:val="28"/>
          <w:szCs w:val="28"/>
          <w:u w:val="none"/>
          <w:shd w:val="clear" w:color="auto" w:fill="FFFFFF"/>
          <w:lang w:val="en-US"/>
        </w:rPr>
        <w:t>/</w:t>
      </w:r>
      <w:r>
        <w:rPr>
          <w:rFonts w:hint="eastAsia" w:ascii="仿宋" w:hAnsi="仿宋" w:eastAsia="仿宋" w:cs="仿宋"/>
          <w:i w:val="0"/>
          <w:iCs w:val="0"/>
          <w:caps w:val="0"/>
          <w:color w:val="333333"/>
          <w:spacing w:val="0"/>
          <w:sz w:val="28"/>
          <w:szCs w:val="28"/>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3800元/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标准房型面积为45、60、75、90、105、120、135平方米。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（四）本项目住宅区位价： 15200元/㎡。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（五）征收合法产权的杂物间，可按杂物间建筑面积的50%折算并入住宅房屋进行补偿安置。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六）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奖励，对选择货币补偿并放弃购买安置型商品房（或产权调换）的，公摊补偿面积给予3527元/㎡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（七）被征收人在签约期限内签约搬迁的，对被征收的成套单元房可另外给予420元/平方米的成套房基础设施配套费补助，计入被征收房屋补偿价格。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八）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九）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上海西新村地块</w:t>
      </w:r>
      <w:r>
        <w:rPr>
          <w:rFonts w:hint="eastAsia" w:ascii="仿宋_GB2312" w:hAnsi="仿宋_GB2312" w:eastAsia="仿宋_GB2312" w:cs="仿宋_GB2312"/>
          <w:color w:val="auto"/>
          <w:sz w:val="28"/>
          <w:szCs w:val="28"/>
          <w:highlight w:val="none"/>
          <w:u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             对接价19000元/㎡；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b/>
          <w:color w:val="auto"/>
          <w:sz w:val="28"/>
          <w:szCs w:val="28"/>
          <w:highlight w:val="none"/>
          <w:u w:val="none"/>
          <w:shd w:val="clear" w:color="auto" w:fill="FFFFFF"/>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台江区内安置型商品</w:t>
      </w:r>
      <w:r>
        <w:rPr>
          <w:rFonts w:hint="eastAsia" w:ascii="仿宋_GB2312" w:hAnsi="仿宋_GB2312" w:eastAsia="仿宋_GB2312" w:cs="仿宋_GB2312"/>
          <w:b/>
          <w:bCs/>
          <w:color w:val="auto"/>
          <w:sz w:val="28"/>
          <w:szCs w:val="28"/>
          <w:highlight w:val="none"/>
          <w:u w:val="none"/>
        </w:rPr>
        <w:t>房</w:t>
      </w:r>
      <w:r>
        <w:rPr>
          <w:rFonts w:hint="eastAsia" w:ascii="仿宋_GB2312" w:hAnsi="仿宋_GB2312" w:eastAsia="仿宋_GB2312" w:cs="仿宋_GB2312"/>
          <w:b/>
          <w:bCs/>
          <w:color w:val="auto"/>
          <w:sz w:val="28"/>
          <w:szCs w:val="28"/>
          <w:highlight w:val="none"/>
          <w:u w:val="none"/>
          <w:shd w:val="clear" w:color="auto" w:fill="FFFFFF"/>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汇金鼎府</w:t>
      </w:r>
      <w:r>
        <w:rPr>
          <w:rFonts w:hint="eastAsia" w:ascii="仿宋_GB2312" w:hAnsi="仿宋_GB2312" w:eastAsia="仿宋_GB2312" w:cs="仿宋_GB2312"/>
          <w:color w:val="auto"/>
          <w:sz w:val="28"/>
          <w:szCs w:val="28"/>
          <w:highlight w:val="none"/>
          <w:u w:val="none"/>
          <w:lang w:val="en-US" w:eastAsia="zh-CN"/>
        </w:rPr>
        <w:t xml:space="preserve">安置型商品房                 </w:t>
      </w:r>
      <w:r>
        <w:rPr>
          <w:rFonts w:hint="eastAsia" w:ascii="仿宋_GB2312" w:hAnsi="仿宋_GB2312" w:eastAsia="仿宋_GB2312" w:cs="仿宋_GB2312"/>
          <w:color w:val="auto"/>
          <w:sz w:val="28"/>
          <w:szCs w:val="28"/>
          <w:highlight w:val="none"/>
          <w:u w:val="none"/>
        </w:rPr>
        <w:t>销售均价1</w:t>
      </w:r>
      <w:r>
        <w:rPr>
          <w:rFonts w:hint="eastAsia" w:ascii="仿宋_GB2312" w:hAnsi="仿宋_GB2312" w:eastAsia="仿宋_GB2312" w:cs="仿宋_GB2312"/>
          <w:color w:val="auto"/>
          <w:sz w:val="28"/>
          <w:szCs w:val="28"/>
          <w:highlight w:val="none"/>
          <w:u w:val="none"/>
          <w:lang w:val="en-US" w:eastAsia="zh-CN"/>
        </w:rPr>
        <w:t>708</w:t>
      </w:r>
      <w:r>
        <w:rPr>
          <w:rFonts w:hint="eastAsia" w:ascii="仿宋_GB2312" w:hAnsi="仿宋_GB2312" w:eastAsia="仿宋_GB2312" w:cs="仿宋_GB2312"/>
          <w:color w:val="auto"/>
          <w:sz w:val="28"/>
          <w:szCs w:val="28"/>
          <w:highlight w:val="none"/>
          <w:u w:val="none"/>
        </w:rPr>
        <w:t>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 xml:space="preserve">浦西村及周边旧改地块安置型商品房     </w:t>
      </w:r>
      <w:r>
        <w:rPr>
          <w:rFonts w:hint="eastAsia" w:ascii="仿宋_GB2312" w:hAnsi="仿宋_GB2312" w:eastAsia="仿宋_GB2312" w:cs="仿宋_GB2312"/>
          <w:color w:val="auto"/>
          <w:sz w:val="28"/>
          <w:szCs w:val="28"/>
          <w:highlight w:val="none"/>
          <w:u w:val="none"/>
        </w:rPr>
        <w:t>销售均价</w:t>
      </w:r>
      <w:r>
        <w:rPr>
          <w:rFonts w:hint="eastAsia" w:ascii="仿宋_GB2312" w:hAnsi="仿宋_GB2312" w:eastAsia="仿宋_GB2312" w:cs="仿宋_GB2312"/>
          <w:color w:val="auto"/>
          <w:sz w:val="28"/>
          <w:szCs w:val="28"/>
          <w:highlight w:val="none"/>
          <w:u w:val="none"/>
          <w:lang w:val="en-US" w:eastAsia="zh-CN"/>
        </w:rPr>
        <w:t>19000</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 xml:space="preserve">万科澜悦花园安置型商品房             </w:t>
      </w:r>
      <w:r>
        <w:rPr>
          <w:rFonts w:hint="eastAsia" w:ascii="仿宋_GB2312" w:hAnsi="仿宋_GB2312" w:eastAsia="仿宋_GB2312" w:cs="仿宋_GB2312"/>
          <w:color w:val="auto"/>
          <w:sz w:val="28"/>
          <w:szCs w:val="28"/>
          <w:highlight w:val="none"/>
          <w:u w:val="none"/>
        </w:rPr>
        <w:t>销售均价</w:t>
      </w:r>
      <w:r>
        <w:rPr>
          <w:rFonts w:hint="eastAsia" w:ascii="仿宋_GB2312" w:hAnsi="仿宋_GB2312" w:eastAsia="仿宋_GB2312" w:cs="仿宋_GB2312"/>
          <w:color w:val="auto"/>
          <w:sz w:val="28"/>
          <w:szCs w:val="28"/>
          <w:highlight w:val="none"/>
          <w:u w:val="none"/>
          <w:lang w:val="en-US" w:eastAsia="zh-CN"/>
        </w:rPr>
        <w:t>18400</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阳光城悠澜郡安置型商品房             销售均价18400元/㎡；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u w:val="none"/>
        </w:rPr>
        <w:t>江区内</w:t>
      </w:r>
      <w:r>
        <w:rPr>
          <w:rFonts w:hint="eastAsia" w:ascii="仿宋_GB2312" w:hAnsi="仿宋_GB2312" w:eastAsia="仿宋_GB2312" w:cs="仿宋_GB2312"/>
          <w:b/>
          <w:color w:val="auto"/>
          <w:sz w:val="28"/>
          <w:szCs w:val="28"/>
          <w:highlight w:val="none"/>
          <w:u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融信洋中城</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对接价17500元/㎡；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上海新苑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17860</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鳌兴佳园二区（红星苑二期）</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lang w:eastAsia="zh-CN"/>
        </w:rPr>
        <w:t>对接</w:t>
      </w:r>
      <w:r>
        <w:rPr>
          <w:rFonts w:hint="eastAsia" w:ascii="仿宋_GB2312" w:hAnsi="仿宋_GB2312" w:eastAsia="仿宋_GB2312" w:cs="仿宋_GB2312"/>
          <w:color w:val="auto"/>
          <w:sz w:val="28"/>
          <w:szCs w:val="28"/>
          <w:highlight w:val="none"/>
          <w:u w:val="none"/>
        </w:rPr>
        <w:t>价</w:t>
      </w:r>
      <w:r>
        <w:rPr>
          <w:rFonts w:hint="eastAsia" w:ascii="仿宋_GB2312" w:hAnsi="仿宋_GB2312" w:eastAsia="仿宋_GB2312" w:cs="仿宋_GB2312"/>
          <w:color w:val="auto"/>
          <w:sz w:val="28"/>
          <w:szCs w:val="28"/>
          <w:highlight w:val="none"/>
          <w:u w:val="none"/>
          <w:lang w:val="en-US" w:eastAsia="zh-CN"/>
        </w:rPr>
        <w:t>15680</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价23700元/㎡；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u w:val="none"/>
          <w:shd w:val="clear" w:color="auto" w:fill="FFFFFF"/>
        </w:rPr>
      </w:pPr>
      <w:r>
        <w:rPr>
          <w:rFonts w:hint="eastAsia" w:ascii="仿宋_GB2312" w:hAnsi="仿宋_GB2312" w:eastAsia="仿宋_GB2312" w:cs="仿宋_GB2312"/>
          <w:b/>
          <w:color w:val="auto"/>
          <w:sz w:val="28"/>
          <w:szCs w:val="28"/>
          <w:highlight w:val="none"/>
          <w:u w:val="none"/>
          <w:shd w:val="clear" w:color="auto" w:fill="FFFFFF"/>
        </w:rPr>
        <w:t>台江区</w:t>
      </w:r>
      <w:r>
        <w:rPr>
          <w:rFonts w:hint="eastAsia" w:ascii="仿宋_GB2312" w:hAnsi="仿宋_GB2312" w:eastAsia="仿宋_GB2312" w:cs="仿宋_GB2312"/>
          <w:b/>
          <w:color w:val="auto"/>
          <w:sz w:val="28"/>
          <w:szCs w:val="28"/>
          <w:highlight w:val="none"/>
          <w:u w:val="none"/>
          <w:shd w:val="clear" w:color="auto" w:fill="FFFFFF"/>
          <w:lang w:val="en-US" w:eastAsia="zh-CN"/>
        </w:rPr>
        <w:t>外</w:t>
      </w:r>
      <w:r>
        <w:rPr>
          <w:rFonts w:hint="eastAsia" w:ascii="仿宋_GB2312" w:hAnsi="仿宋_GB2312" w:eastAsia="仿宋_GB2312" w:cs="仿宋_GB2312"/>
          <w:b/>
          <w:color w:val="auto"/>
          <w:sz w:val="28"/>
          <w:szCs w:val="28"/>
          <w:highlight w:val="none"/>
          <w:u w:val="none"/>
        </w:rPr>
        <w:t>安置型商品房</w:t>
      </w:r>
      <w:r>
        <w:rPr>
          <w:rFonts w:hint="eastAsia" w:ascii="仿宋_GB2312" w:hAnsi="仿宋_GB2312" w:eastAsia="仿宋_GB2312" w:cs="仿宋_GB2312"/>
          <w:b/>
          <w:color w:val="auto"/>
          <w:sz w:val="28"/>
          <w:szCs w:val="28"/>
          <w:highlight w:val="none"/>
          <w:u w:val="none"/>
          <w:shd w:val="clear" w:color="auto" w:fill="FFFFFF"/>
        </w:rPr>
        <w:t>：</w:t>
      </w:r>
    </w:p>
    <w:p>
      <w:pPr>
        <w:shd w:val="clear" w:color="auto" w:fill="FFFFFF"/>
        <w:spacing w:line="480" w:lineRule="exact"/>
        <w:ind w:firstLine="560" w:firstLineChars="200"/>
        <w:rPr>
          <w:rFonts w:hint="eastAsia" w:ascii="仿宋_GB2312" w:hAnsi="仿宋_GB2312" w:eastAsia="仿宋_GB2312" w:cs="仿宋_GB2312"/>
          <w:b/>
          <w:color w:val="auto"/>
          <w:sz w:val="28"/>
          <w:szCs w:val="28"/>
          <w:highlight w:val="none"/>
          <w:u w:val="none"/>
          <w:shd w:val="clear" w:color="auto" w:fill="FFFFFF"/>
        </w:rPr>
      </w:pPr>
      <w:r>
        <w:rPr>
          <w:rFonts w:hint="eastAsia" w:ascii="仿宋_GB2312" w:hAnsi="仿宋_GB2312" w:eastAsia="仿宋_GB2312" w:cs="仿宋_GB2312"/>
          <w:color w:val="auto"/>
          <w:sz w:val="28"/>
          <w:szCs w:val="28"/>
          <w:highlight w:val="none"/>
          <w:u w:val="none"/>
        </w:rPr>
        <w:t>铂悦华郡</w:t>
      </w:r>
      <w:r>
        <w:rPr>
          <w:rFonts w:hint="eastAsia" w:ascii="仿宋_GB2312" w:hAnsi="仿宋_GB2312" w:eastAsia="仿宋_GB2312" w:cs="仿宋_GB2312"/>
          <w:color w:val="auto"/>
          <w:sz w:val="28"/>
          <w:szCs w:val="28"/>
          <w:highlight w:val="none"/>
          <w:u w:val="none"/>
          <w:lang w:eastAsia="zh-CN"/>
        </w:rPr>
        <w:t>安置型商品房</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销售均价</w:t>
      </w:r>
      <w:r>
        <w:rPr>
          <w:rFonts w:hint="eastAsia" w:ascii="仿宋_GB2312" w:hAnsi="仿宋_GB2312" w:eastAsia="仿宋_GB2312" w:cs="仿宋_GB2312"/>
          <w:color w:val="auto"/>
          <w:sz w:val="28"/>
          <w:szCs w:val="28"/>
          <w:highlight w:val="none"/>
          <w:u w:val="none"/>
          <w:lang w:val="en-US" w:eastAsia="zh-CN"/>
        </w:rPr>
        <w:t>16280</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2" w:firstLineChars="200"/>
        <w:rPr>
          <w:rFonts w:hint="eastAsia" w:ascii="仿宋_GB2312" w:hAnsi="仿宋_GB2312" w:eastAsia="仿宋_GB2312" w:cs="仿宋_GB2312"/>
          <w:color w:val="auto"/>
          <w:sz w:val="28"/>
          <w:szCs w:val="28"/>
          <w:highlight w:val="none"/>
          <w:u w:val="none"/>
          <w:shd w:val="clear" w:color="auto" w:fill="FFFFFF"/>
        </w:rPr>
      </w:pPr>
      <w:r>
        <w:rPr>
          <w:rFonts w:hint="eastAsia" w:ascii="仿宋_GB2312" w:hAnsi="仿宋_GB2312" w:eastAsia="仿宋_GB2312" w:cs="仿宋_GB2312"/>
          <w:b/>
          <w:color w:val="auto"/>
          <w:sz w:val="28"/>
          <w:szCs w:val="28"/>
          <w:highlight w:val="none"/>
          <w:u w:val="none"/>
          <w:shd w:val="clear" w:color="auto" w:fill="FFFFFF"/>
        </w:rPr>
        <w:t>台江区外</w:t>
      </w:r>
      <w:r>
        <w:rPr>
          <w:rFonts w:hint="eastAsia" w:ascii="仿宋_GB2312" w:hAnsi="仿宋_GB2312" w:eastAsia="仿宋_GB2312" w:cs="仿宋_GB2312"/>
          <w:b/>
          <w:color w:val="auto"/>
          <w:sz w:val="28"/>
          <w:szCs w:val="28"/>
          <w:highlight w:val="none"/>
          <w:u w:val="none"/>
        </w:rPr>
        <w:t>产权调换房</w:t>
      </w:r>
      <w:r>
        <w:rPr>
          <w:rFonts w:hint="eastAsia" w:ascii="仿宋_GB2312" w:hAnsi="仿宋_GB2312" w:eastAsia="仿宋_GB2312" w:cs="仿宋_GB2312"/>
          <w:color w:val="auto"/>
          <w:sz w:val="28"/>
          <w:szCs w:val="28"/>
          <w:highlight w:val="none"/>
          <w:u w:val="none"/>
          <w:shd w:val="clear" w:color="auto" w:fill="FFFFFF"/>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鲁能公馆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对接价1846</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双湖新城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对接价13900元/㎡，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价18167元/㎡；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首山丽景一期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对接价14850元/㎡，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价19033元/㎡；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象峰新苑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12393</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汇景佳园</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对接价15200元/㎡，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福湾新城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10864</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价18100元/㎡；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上渡新苑三区</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15600</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w:t>
      </w:r>
      <w:r>
        <w:rPr>
          <w:rFonts w:hint="eastAsia" w:ascii="仿宋_GB2312" w:hAnsi="仿宋_GB2312" w:eastAsia="仿宋_GB2312" w:cs="仿宋_GB2312"/>
          <w:color w:val="auto"/>
          <w:sz w:val="28"/>
          <w:szCs w:val="28"/>
          <w:highlight w:val="none"/>
          <w:u w:val="none"/>
          <w:lang w:val="en-US" w:eastAsia="zh-CN"/>
        </w:rPr>
        <w:t>18267</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霞镜新城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16200</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w:t>
      </w:r>
      <w:r>
        <w:rPr>
          <w:rFonts w:hint="eastAsia" w:ascii="仿宋_GB2312" w:hAnsi="仿宋_GB2312" w:eastAsia="仿宋_GB2312" w:cs="仿宋_GB2312"/>
          <w:color w:val="auto"/>
          <w:sz w:val="28"/>
          <w:szCs w:val="28"/>
          <w:highlight w:val="none"/>
          <w:u w:val="none"/>
          <w:lang w:val="en-US" w:eastAsia="zh-CN"/>
        </w:rPr>
        <w:t>21433</w:t>
      </w:r>
      <w:r>
        <w:rPr>
          <w:rFonts w:hint="eastAsia" w:ascii="仿宋_GB2312" w:hAnsi="仿宋_GB2312" w:eastAsia="仿宋_GB2312" w:cs="仿宋_GB2312"/>
          <w:color w:val="auto"/>
          <w:sz w:val="28"/>
          <w:szCs w:val="28"/>
          <w:highlight w:val="none"/>
          <w:u w:val="none"/>
        </w:rPr>
        <w:t>元/㎡；</w:t>
      </w:r>
    </w:p>
    <w:p>
      <w:pPr>
        <w:shd w:val="clear" w:color="auto" w:fill="FFFFFF"/>
        <w:spacing w:line="480" w:lineRule="exact"/>
        <w:ind w:firstLine="560" w:firstLineChars="200"/>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color w:val="auto"/>
          <w:sz w:val="28"/>
          <w:szCs w:val="28"/>
          <w:highlight w:val="none"/>
          <w:u w:val="none"/>
        </w:rPr>
        <w:t xml:space="preserve">金凤新苑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对接价14550元/㎡，</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价17600元/㎡；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2.存量统建安置房给予价格优惠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鼓励被征收人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人选择汇金鼎府安置型商品房、浦西村及周边旧改地块安置型商品房、万科澜悦花园安置型商品房、阳光城悠澜郡安置型商品房、鳌兴佳园二区（红星苑二期）、上海新苑、融信洋中城房源进行安置的，仅限选择一处且仅能选择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4"/>
          <w:kern w:val="0"/>
          <w:sz w:val="28"/>
          <w:szCs w:val="28"/>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（1）沿白马支路一层营业性店面货币补偿计价方式：货币补偿金额=被征收营业性店面的确权建筑面积×（29002元/㎡+</w:t>
      </w: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（2）沿交通西路一层营业性店面货币补偿计价方式：货币补偿金额=被征收营业性店面的确权建筑面积×（38226元/㎡+</w:t>
      </w: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（3）沿斗池路一层营业性店面货币补偿计价方式：货币补偿金额=被征收营业性店面的确权建筑面积×（35389元/㎡+</w:t>
      </w: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（4）沿西二环路一层营业性店面货币补偿计价方式：货币补偿金额=被征收营业性店面的确权建筑面积×（31409元/㎡+</w:t>
      </w: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（5）沿小街巷一层营业性店面货币补偿计价方式：货币补偿金额=被征收营业性店面的确权建筑面积×（20602元/㎡+</w:t>
      </w: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私房办公用房货币补偿计价方式：货币补偿金额=被征收办公用房的确权建筑面积×（10232元/㎡+被征收房屋重置价×成新率）；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3.工业仓储类用房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私房工业仓储类用房货币补偿计价方式：货币补偿金额=被征收工业仓储类用房的确权建筑面积×（1312元/㎡+被征收房屋重置价×成新率）；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白马支路一层营业性店面2900元/㎡，沿交通西路一层营业性店面3823元/㎡，沿斗池路一层营业性店面3539元/㎡，沿西二环路一层营业性店面3141元/㎡，沿小街巷一层营业性店面2060元/㎡，工业仓储类用房2280元/㎡，办公用房1023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白马支路一层营业性店面2900元/㎡，沿交通西路一层营业性店面3823元/㎡，沿斗池路一层营业性店面3539元/㎡，沿西二环路一层营业性店面3141元/㎡，沿小街巷一层营业性店面2060元/㎡，工业仓储类用房1520元/㎡，办公用房1023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公房住宅产权补偿款标准按住宅区位价的20%计算，即3040元/㎡。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（一）住宅房屋选择对接购买安置型商品房或产权调换并自行过渡的，按确权的住宅建筑面积向被征收人发放过渡费（原面积不足30平方米的按30平方米计算）。过渡费标准为：每月每平方米15元。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3527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八）产权、确权住宅房屋旧房补偿一等框架结构建安综合单价为3800元/平方米，其余参照榕房〔2017〕89号的建安综合单价及成新率评定标准执行；其它非住宅房屋及2004年10月26日至2006年8月26日间建造的无产权房屋的旧房补偿参照榕政办〔2013〕100号文标准执行。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九）被征收房屋层高超过4米(含4米)的，建安综合单价（或重置价）标准提高20％；被征收房屋层高超过6米(含6米)的，建安综合单价（或重置价）标准提高40％；被征收房屋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八、签约期限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 xml:space="preserve">   </w:t>
      </w:r>
      <w:r>
        <w:rPr>
          <w:rFonts w:hint="eastAsia" w:ascii="仿宋" w:hAnsi="仿宋" w:eastAsia="仿宋" w:cs="仿宋"/>
          <w:i w:val="0"/>
          <w:iCs w:val="0"/>
          <w:caps w:val="0"/>
          <w:color w:val="333333"/>
          <w:spacing w:val="0"/>
          <w:kern w:val="0"/>
          <w:sz w:val="28"/>
          <w:szCs w:val="28"/>
          <w:u w:val="none"/>
          <w:shd w:val="clear" w:color="auto" w:fill="FFFFFF"/>
          <w:lang w:val="en-US" w:eastAsia="zh-CN" w:bidi="ar"/>
        </w:rPr>
        <w:t>签约期：2022年8月5日至2022年8月11</w:t>
      </w:r>
      <w:bookmarkStart w:id="0" w:name="_GoBack"/>
      <w:bookmarkEnd w:id="0"/>
      <w:r>
        <w:rPr>
          <w:rFonts w:hint="eastAsia" w:ascii="仿宋" w:hAnsi="仿宋" w:eastAsia="仿宋" w:cs="仿宋"/>
          <w:i w:val="0"/>
          <w:iCs w:val="0"/>
          <w:caps w:val="0"/>
          <w:color w:val="333333"/>
          <w:spacing w:val="0"/>
          <w:kern w:val="0"/>
          <w:sz w:val="28"/>
          <w:szCs w:val="28"/>
          <w:u w:val="none"/>
          <w:shd w:val="clear" w:color="auto"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九、超出签约期限搬迁的处理办法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房屋征收部门与被征收人在本方案确定的签约期限内达不成补偿协议的，在房屋货币补偿金额到位、提供安置型商品房、产权调换房屋或周转房的地点和面积后，由房屋征收部门报请做出房屋征收决定的人民政府按相关规定作出补偿决定，在补偿决定确定的搬迁期限内仍不搬迁的，由作出补偿决定的人民政府依法向法院申请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3.故意扰乱征收工作程序、煽动闹事、妨碍征收工作人员正常工作的，由公安机关按照《治安管理处罚法》规定处罚，构成犯罪的由司法机关追究刑事责任。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十、房屋搬迁程序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十一、</w:t>
      </w:r>
      <w:r>
        <w:rPr>
          <w:rFonts w:hint="eastAsia" w:ascii="仿宋" w:hAnsi="仿宋" w:eastAsia="仿宋" w:cs="仿宋"/>
          <w:i w:val="0"/>
          <w:iCs w:val="0"/>
          <w:caps w:val="0"/>
          <w:color w:val="333333"/>
          <w:spacing w:val="0"/>
          <w:kern w:val="0"/>
          <w:sz w:val="28"/>
          <w:szCs w:val="28"/>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b/>
          <w:bCs/>
          <w:i w:val="0"/>
          <w:iCs w:val="0"/>
          <w:caps w:val="0"/>
          <w:color w:val="333333"/>
          <w:spacing w:val="0"/>
          <w:kern w:val="0"/>
          <w:sz w:val="28"/>
          <w:szCs w:val="28"/>
          <w:u w:val="none"/>
          <w:shd w:val="clear" w:color="auto" w:fill="FFFFFF"/>
          <w:lang w:val="en-US" w:eastAsia="zh-CN" w:bidi="ar"/>
        </w:rPr>
        <w:t>十二、投诉监督</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u w:val="none"/>
        </w:rPr>
      </w:pPr>
      <w:r>
        <w:rPr>
          <w:rFonts w:hint="eastAsia" w:ascii="仿宋" w:hAnsi="仿宋" w:eastAsia="仿宋" w:cs="仿宋"/>
          <w:i w:val="0"/>
          <w:iCs w:val="0"/>
          <w:caps w:val="0"/>
          <w:color w:val="333333"/>
          <w:spacing w:val="0"/>
          <w:kern w:val="0"/>
          <w:sz w:val="28"/>
          <w:szCs w:val="28"/>
          <w:u w:val="none"/>
          <w:shd w:val="clear" w:color="auto" w:fill="FFFFFF"/>
          <w:lang w:val="en-US" w:eastAsia="zh-CN" w:bidi="ar"/>
        </w:rPr>
        <w:t>为确保整个征收补偿工作顺利进行，做到公正、公平、公开，此次征收与补偿活动接受区纪委、监委监督，也欢迎被征收人参与监督。</w:t>
      </w:r>
    </w:p>
    <w:p>
      <w:pPr>
        <w:keepNext w:val="0"/>
        <w:keepLines w:val="0"/>
        <w:pageBreakBefore w:val="0"/>
        <w:shd w:val="clear" w:color="auto" w:fill="FFFFFF"/>
        <w:kinsoku/>
        <w:wordWrap/>
        <w:overflowPunct/>
        <w:topLinePunct w:val="0"/>
        <w:autoSpaceDE/>
        <w:autoSpaceDN/>
        <w:bidi w:val="0"/>
        <w:adjustRightInd/>
        <w:snapToGrid w:val="0"/>
        <w:spacing w:line="240" w:lineRule="auto"/>
        <w:ind w:right="240"/>
        <w:jc w:val="right"/>
        <w:textAlignment w:val="auto"/>
        <w:rPr>
          <w:rFonts w:hint="eastAsia" w:ascii="仿宋" w:hAnsi="仿宋" w:eastAsia="仿宋" w:cs="仿宋"/>
          <w:color w:val="auto"/>
          <w:sz w:val="28"/>
          <w:szCs w:val="28"/>
          <w:highlight w:val="none"/>
          <w:u w:val="none"/>
          <w:shd w:val="clear" w:color="auto" w:fill="FFFFFF"/>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kern w:val="0"/>
          <w:sz w:val="28"/>
          <w:szCs w:val="28"/>
          <w:highlight w:val="none"/>
          <w:u w:val="none"/>
          <w:shd w:val="clear" w:color="auto" w:fill="FFFFFF"/>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宋体"/>
          <w:b/>
          <w:color w:val="auto"/>
          <w:kern w:val="0"/>
          <w:sz w:val="32"/>
          <w:szCs w:val="32"/>
          <w:highlight w:val="none"/>
          <w:u w:val="none"/>
          <w:shd w:val="clear" w:color="auto" w:fill="FFFFFF"/>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宋体"/>
          <w:b/>
          <w:color w:val="auto"/>
          <w:kern w:val="0"/>
          <w:sz w:val="32"/>
          <w:szCs w:val="32"/>
          <w:highlight w:val="none"/>
          <w:u w:val="none"/>
          <w:shd w:val="clear" w:color="auto" w:fill="FFFFFF"/>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宋体"/>
          <w:b/>
          <w:color w:val="auto"/>
          <w:kern w:val="0"/>
          <w:sz w:val="32"/>
          <w:szCs w:val="32"/>
          <w:highlight w:val="none"/>
          <w:u w:val="none"/>
          <w:shd w:val="clear" w:color="auto" w:fill="FFFFFF"/>
        </w:rPr>
      </w:pPr>
    </w:p>
    <w:p>
      <w:pPr>
        <w:ind w:firstLine="6314" w:firstLineChars="205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shd w:val="clear" w:color="auto" w:fill="FFFFFF"/>
        <w:spacing w:line="480" w:lineRule="exact"/>
        <w:rPr>
          <w:rFonts w:ascii="仿宋" w:hAnsi="仿宋" w:eastAsia="仿宋" w:cs="宋体"/>
          <w:color w:val="333333"/>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27CB6922"/>
    <w:rsid w:val="2B6E74E6"/>
    <w:rsid w:val="472659D8"/>
    <w:rsid w:val="5DD3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5821</Words>
  <Characters>6153</Characters>
  <Lines>5</Lines>
  <Paragraphs>1</Paragraphs>
  <TotalTime>1</TotalTime>
  <ScaleCrop>false</ScaleCrop>
  <LinksUpToDate>false</LinksUpToDate>
  <CharactersWithSpaces>6164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Z丶o</cp:lastModifiedBy>
  <cp:lastPrinted>2020-05-09T03:30:00Z</cp:lastPrinted>
  <dcterms:modified xsi:type="dcterms:W3CDTF">2022-08-04T05:01:19Z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8D1A4AAC6B1D46249E0F6DA69A0980FB</vt:lpwstr>
  </property>
</Properties>
</file>