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2022年台江区老旧小区整治项目一期</w:t>
      </w:r>
    </w:p>
    <w:p>
      <w:pPr>
        <w:numPr>
          <w:ilvl w:val="0"/>
          <w:numId w:val="0"/>
        </w:numPr>
        <w:jc w:val="left"/>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2023年福建省政府专项债资金使用情况说明</w:t>
      </w:r>
    </w:p>
    <w:p>
      <w:pPr>
        <w:numPr>
          <w:ilvl w:val="0"/>
          <w:numId w:val="0"/>
        </w:numPr>
        <w:jc w:val="left"/>
        <w:rPr>
          <w:rFonts w:hint="eastAsia" w:ascii="方正小标宋_GBK" w:hAnsi="方正小标宋_GBK" w:eastAsia="方正小标宋_GBK" w:cs="方正小标宋_GBK"/>
          <w:b/>
          <w:bCs/>
          <w:sz w:val="44"/>
          <w:szCs w:val="44"/>
          <w:lang w:val="en-US" w:eastAsia="zh-CN"/>
        </w:rPr>
      </w:pP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项目概况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2022年台江区老旧小区整治项目一期，共涉及14个小区、129栋楼、6701户，改造建筑面积约60.0931万平方米，总投资约1.548亿。</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政府专项债券资金使用情况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2023年3月，2022年台江区老旧小区整治项目一期收到福建省保障性安居工程专项债券（三期）资金3300万元，债券期限15年，利率3.1%。截止2023年12月底，已全额支出。</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2023年6月，2022年台江区老旧小区整治项目一期收到福建省保障性安居工程专项债券（八期）资金1500万元，债券期限15年，利率2.91%。截止2023年12月底，已全额支出。</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项目建设进度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2022年台江区老旧小区整治项目一期14个小区已全部竣工，正在推进结算送审等工作。</w:t>
      </w:r>
    </w:p>
    <w:p>
      <w:pPr>
        <w:numPr>
          <w:ilvl w:val="0"/>
          <w:numId w:val="0"/>
        </w:numPr>
        <w:ind w:firstLine="640" w:firstLineChars="200"/>
        <w:rPr>
          <w:rFonts w:hint="eastAsia" w:ascii="仿宋" w:hAnsi="仿宋" w:eastAsia="仿宋" w:cs="仿宋"/>
          <w:sz w:val="32"/>
          <w:szCs w:val="32"/>
          <w:lang w:val="en-US" w:eastAsia="zh-CN"/>
        </w:rPr>
      </w:pPr>
    </w:p>
    <w:p>
      <w:pPr>
        <w:numPr>
          <w:ilvl w:val="0"/>
          <w:numId w:val="1"/>
        </w:numPr>
        <w:ind w:firstLine="640" w:firstLineChars="200"/>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项目运营情况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目前，因该项目尚未达到运营期</w:t>
      </w:r>
      <w:bookmarkStart w:id="0" w:name="_GoBack"/>
      <w:bookmarkEnd w:id="0"/>
      <w:r>
        <w:rPr>
          <w:rFonts w:hint="eastAsia" w:ascii="仿宋" w:hAnsi="仿宋" w:eastAsia="仿宋" w:cs="仿宋"/>
          <w:sz w:val="32"/>
          <w:szCs w:val="32"/>
          <w:lang w:val="en-US" w:eastAsia="zh-CN"/>
        </w:rPr>
        <w:t>，争取未来实现项目收益和融资自求平衡。</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福州市台江区住房保障和房产管理局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2023年12月31日</w:t>
      </w:r>
    </w:p>
    <w:p>
      <w:pPr>
        <w:numPr>
          <w:ilvl w:val="0"/>
          <w:numId w:val="0"/>
        </w:numPr>
        <w:ind w:firstLine="640" w:firstLineChars="200"/>
        <w:rPr>
          <w:rFonts w:hint="eastAsia" w:ascii="仿宋" w:hAnsi="仿宋" w:eastAsia="仿宋" w:cs="仿宋"/>
          <w:sz w:val="32"/>
          <w:szCs w:val="32"/>
          <w:lang w:val="en-US" w:eastAsia="zh-C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BF528D-2BDC-412D-BE22-6289980D09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B5394B5-9F8B-4C80-B357-A4268EF5EFBB}"/>
  </w:font>
  <w:font w:name="仿宋">
    <w:panose1 w:val="02010609060101010101"/>
    <w:charset w:val="86"/>
    <w:family w:val="auto"/>
    <w:pitch w:val="default"/>
    <w:sig w:usb0="800002BF" w:usb1="38CF7CFA" w:usb2="00000016" w:usb3="00000000" w:csb0="00040001" w:csb1="00000000"/>
    <w:embedRegular r:id="rId3" w:fontKey="{C0CC4EFD-13FC-4774-82D2-68F7757BA43D}"/>
  </w:font>
  <w:font w:name="仿宋_GB2312">
    <w:panose1 w:val="02010609030101010101"/>
    <w:charset w:val="86"/>
    <w:family w:val="auto"/>
    <w:pitch w:val="default"/>
    <w:sig w:usb0="00000001" w:usb1="080E0000" w:usb2="00000000" w:usb3="00000000" w:csb0="00040000" w:csb1="00000000"/>
    <w:embedRegular r:id="rId4" w:fontKey="{2B297521-824D-4C10-88B7-7CF9A71CB5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A3A88"/>
    <w:multiLevelType w:val="singleLevel"/>
    <w:tmpl w:val="CB3A3A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OTMxOTBjZWIzOTg2MzJjZmFjODczZmJmNDRkZjEifQ=="/>
  </w:docVars>
  <w:rsids>
    <w:rsidRoot w:val="396F7D9D"/>
    <w:rsid w:val="1D9444C8"/>
    <w:rsid w:val="2CDD059E"/>
    <w:rsid w:val="396F7D9D"/>
    <w:rsid w:val="57A15C33"/>
    <w:rsid w:val="655174CB"/>
    <w:rsid w:val="731978B8"/>
    <w:rsid w:val="742E48BF"/>
    <w:rsid w:val="7766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354</Characters>
  <Lines>0</Lines>
  <Paragraphs>0</Paragraphs>
  <TotalTime>15</TotalTime>
  <ScaleCrop>false</ScaleCrop>
  <LinksUpToDate>false</LinksUpToDate>
  <CharactersWithSpaces>407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2022-08-03T04:01:00Z</dcterms:created>
  <dc:creator>甜妞</dc:creator>
  <cp:lastModifiedBy>Triangle</cp:lastModifiedBy>
  <cp:lastPrinted>2024-02-07T09:44:00Z</cp:lastPrinted>
  <dcterms:modified xsi:type="dcterms:W3CDTF">2024-02-18T07:36:47Z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EB4203B801F34D95A25573B2028757A6_13</vt:lpwstr>
  </property>
</Properties>
</file>