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</w:pPr>
    </w:p>
    <w:p>
      <w:pPr>
        <w:spacing w:line="560" w:lineRule="exact"/>
        <w:ind w:firstLine="220" w:firstLineChars="5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台江区网格化（数字城管）</w:t>
      </w:r>
      <w:r>
        <w:rPr>
          <w:rFonts w:ascii="宋体" w:hAnsi="宋体"/>
          <w:sz w:val="44"/>
          <w:szCs w:val="44"/>
        </w:rPr>
        <w:t>平台</w:t>
      </w:r>
      <w:r>
        <w:rPr>
          <w:rFonts w:hint="eastAsia" w:ascii="宋体" w:hAnsi="宋体"/>
          <w:sz w:val="44"/>
          <w:szCs w:val="44"/>
        </w:rPr>
        <w:t>案</w:t>
      </w:r>
      <w:r>
        <w:rPr>
          <w:rFonts w:ascii="宋体" w:hAnsi="宋体"/>
          <w:sz w:val="44"/>
          <w:szCs w:val="44"/>
        </w:rPr>
        <w:t>件</w:t>
      </w:r>
    </w:p>
    <w:p>
      <w:pPr>
        <w:spacing w:line="560" w:lineRule="exact"/>
        <w:ind w:firstLine="220" w:firstLineChars="50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ascii="宋体" w:hAnsi="宋体"/>
          <w:sz w:val="44"/>
          <w:szCs w:val="44"/>
        </w:rPr>
        <w:t>办理跟踪问责机制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为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切实提高办理质量、处置效能，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降低我区网格化（数字城管）平台返工率、超期未处置数，提高结案率、按期结案率，杜绝督办件超期情况，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结合我区实际，制定本机制。</w:t>
      </w:r>
    </w:p>
    <w:p>
      <w:pPr>
        <w:shd w:val="clear" w:color="auto" w:fill="FFFFFF"/>
        <w:spacing w:line="560" w:lineRule="exact"/>
        <w:ind w:firstLine="643" w:firstLineChars="200"/>
        <w:outlineLvl w:val="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一、工作目标</w:t>
      </w:r>
    </w:p>
    <w:p>
      <w:pPr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按照“谁承办、谁负责”原则，监督承办部门认真办理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福州市网格化案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以最大的努力</w:t>
      </w:r>
      <w:r>
        <w:rPr>
          <w:rFonts w:hint="eastAsia" w:ascii="仿宋" w:hAnsi="仿宋" w:eastAsia="仿宋"/>
          <w:color w:val="000000"/>
          <w:sz w:val="32"/>
          <w:szCs w:val="32"/>
        </w:rPr>
        <w:t>减少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超期案件、返工案件、超期未处置案件,杜绝督办件超期。</w:t>
      </w:r>
    </w:p>
    <w:p>
      <w:pPr>
        <w:shd w:val="clear" w:color="auto" w:fill="FFFFFF"/>
        <w:spacing w:line="560" w:lineRule="exact"/>
        <w:ind w:firstLine="643" w:firstLineChars="200"/>
        <w:outlineLvl w:val="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二、队伍建设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各街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道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、部门应确定分管领导和经办人员，分管领导和经办人员都必须是编制内正式干部职工。分管领导或经办人员发生变动时，应及时将名单同时报送区“智慧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”管理服务中心（以下简称“智慧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”）和区效能办备案，以便预警机制能通知到位。</w:t>
      </w:r>
    </w:p>
    <w:p>
      <w:pPr>
        <w:shd w:val="clear" w:color="auto" w:fill="FFFFFF"/>
        <w:spacing w:line="560" w:lineRule="exact"/>
        <w:ind w:firstLine="643" w:firstLineChars="200"/>
        <w:outlineLvl w:val="0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三、办理时限及要求</w:t>
      </w:r>
    </w:p>
    <w:p>
      <w:pPr>
        <w:shd w:val="clear" w:color="auto" w:fill="FFFFFF"/>
        <w:spacing w:line="560" w:lineRule="exact"/>
        <w:ind w:firstLine="482" w:firstLineChars="150"/>
        <w:outlineLvl w:val="0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（一）办理时限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处理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时限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各类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件承办单位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根据《福州市数字化城市管理部件和事件立案、结案规范（试行）》规定的时限按期批转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left="643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件办理时限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（1）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急要件和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可简易处理的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，承办单位应马上处置。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（2）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确因特殊情况难以按时限办结的，承办单位应在规定时限届满前半个工作日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提出书面申请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说明具体原因和延期时间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经本单位领导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审核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由区中心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市中心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提出延期报备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（二）办理要求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必须指定专人每个工作日不少于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4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次登录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福州市网格化平台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，根据具体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采集的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内容，在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半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个工作日内将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批转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至承办单位。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承办单位必须指定专人每个工作日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于4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次登录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福州市网格化平台查阅案件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承办单位查阅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应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认真及时办理，办理结果须报单位分管领导审核后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反馈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件不属于职责范围的，承办单位经办人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员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在案件办理时限内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作出退件回复，并说明理由和依据，同时准确提出改派建议。未经市智慧中心或智慧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改派的，原承办单位应继续牵头办理。</w:t>
      </w:r>
    </w:p>
    <w:p>
      <w:pPr>
        <w:shd w:val="clear" w:color="auto" w:fill="FFFFFF"/>
        <w:spacing w:line="560" w:lineRule="exact"/>
        <w:ind w:firstLine="643" w:firstLineChars="200"/>
        <w:outlineLvl w:val="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四、建立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督办案件</w:t>
      </w: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逾期预警机制</w:t>
      </w:r>
    </w:p>
    <w:p>
      <w:pPr>
        <w:shd w:val="clear" w:color="auto" w:fill="FFFFFF"/>
        <w:spacing w:line="560" w:lineRule="exact"/>
        <w:ind w:firstLine="643" w:firstLineChars="200"/>
        <w:outlineLvl w:val="1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督办件收件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预警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由智慧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指派专人负责，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在收到督办案件时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承办单位进行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微信或电话通知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outlineLvl w:val="1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督办件即将超期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预警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由智慧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指派专人负责，在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件办理截止时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限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1个工作日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承办单位进行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电话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催办。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3" w:firstLineChars="200"/>
        <w:outlineLvl w:val="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建立问责机制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区效能办将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福州市网格化（数字城管）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平台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件办理情况纳入区效能办督查问责范围，视情况对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责任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单位或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责任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人进行问责处理，问责情形分为“诫勉教育、通报批评、效能告诫”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种。</w:t>
      </w:r>
    </w:p>
    <w:p>
      <w:pPr>
        <w:shd w:val="clear" w:color="auto" w:fill="FFFFFF"/>
        <w:spacing w:line="560" w:lineRule="exact"/>
        <w:ind w:firstLine="643" w:firstLineChars="200"/>
        <w:jc w:val="left"/>
        <w:outlineLvl w:val="1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一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）诫勉教育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承办单位在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件办理过程中存在以下情形之一，经核实确属承办单位责任，由区效能办进行诫勉教育。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符合以下情况对经办人员进行诫勉教育：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未达99.9%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返工率”达0.25%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符合以下情况对分管领导进行诫勉教育：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未达99.89%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返工率”达0.27%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未达98.9%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符合以下情况对主要领导进行诫勉教育：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未达99.88%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返工率”达0.3%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未达98.8%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3" w:firstLineChars="200"/>
        <w:jc w:val="left"/>
        <w:outlineLvl w:val="1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）通报批评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承办单位在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件办理过程中存在以下情形之一，经核实确属承办单位责任的，由区效能办进行通报批评。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符合以下情况对经办人员进行通报批评：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未达99.87%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返工率”达0.35%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未达98.7%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符合以下情况对分管领导进行通报批评：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未达99.86%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返工率”达0.38%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未达98.6%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符合以下情况对主要领导进行通报批评：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返工率”达0.4%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outlineLvl w:val="1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）效能告诫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承办单位在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件办理过程中存在以下情形之一，经核实确属承办单位责任的，由区效能办进行效能告诫。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符合以下情况对经办人员进行效能告诫：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未达99.84%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返工率”达0.45%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未达98.4%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符合以下情况对分管领导进行效能告诫：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未达99.83%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达 0.48%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未达98.3%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符合以下情况对主要领导进行效能告诫：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未达99.82%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返工率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达 0.5%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3.年度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按期结案率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未达98.2%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4.年度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件“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督办件超期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件次的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3" w:firstLineChars="200"/>
        <w:jc w:val="left"/>
        <w:outlineLvl w:val="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color w:val="000000"/>
          <w:kern w:val="0"/>
          <w:sz w:val="32"/>
          <w:szCs w:val="32"/>
        </w:rPr>
        <w:t>六、附则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1.本制度适用于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福州市网格化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承办单位。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2.本制度由区效能办会同“智慧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台江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”管理服务中心负责解释。</w:t>
      </w:r>
    </w:p>
    <w:p>
      <w:pPr>
        <w:shd w:val="clear" w:color="auto" w:fill="FFFFFF"/>
        <w:spacing w:line="560" w:lineRule="exact"/>
        <w:ind w:firstLine="640" w:firstLineChars="200"/>
        <w:jc w:val="left"/>
      </w:pPr>
      <w:r>
        <w:rPr>
          <w:rFonts w:ascii="仿宋" w:hAnsi="仿宋" w:eastAsia="仿宋"/>
          <w:color w:val="000000"/>
          <w:kern w:val="0"/>
          <w:sz w:val="32"/>
          <w:szCs w:val="32"/>
        </w:rPr>
        <w:t>3.本制度自印发之日起施行。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D73A"/>
    <w:multiLevelType w:val="singleLevel"/>
    <w:tmpl w:val="5C25D73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7FF9"/>
    <w:rsid w:val="5B087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2019-05-13T11:00:00Z</dcterms:created>
  <dc:creator>吴剑峰</dc:creator>
  <cp:lastModifiedBy>吴剑峰</cp:lastModifiedBy>
  <dcterms:modified xsi:type="dcterms:W3CDTF">2019-05-13T11:00:28Z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