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台江区宁化街道</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2020年政府信息公开工作年度报告</w:t>
      </w:r>
    </w:p>
    <w:p>
      <w:pPr>
        <w:spacing w:line="560" w:lineRule="exact"/>
        <w:jc w:val="center"/>
        <w:rPr>
          <w:rFonts w:ascii="仿宋" w:hAnsi="仿宋" w:eastAsia="仿宋" w:cs="Times New Roman"/>
          <w:sz w:val="32"/>
          <w:szCs w:val="32"/>
          <w:lang w:val="zh-CN"/>
        </w:rPr>
      </w:pPr>
      <w:r>
        <w:rPr>
          <w:rFonts w:hint="eastAsia" w:ascii="仿宋" w:hAnsi="仿宋" w:eastAsia="仿宋" w:cs="Times New Roman"/>
          <w:sz w:val="32"/>
          <w:szCs w:val="32"/>
          <w:lang w:val="zh-CN"/>
        </w:rPr>
        <w:t>引言</w:t>
      </w:r>
    </w:p>
    <w:p>
      <w:pPr>
        <w:autoSpaceDE w:val="0"/>
        <w:autoSpaceDN w:val="0"/>
        <w:adjustRightInd w:val="0"/>
        <w:ind w:firstLine="640" w:firstLineChars="200"/>
        <w:jc w:val="left"/>
        <w:rPr>
          <w:rFonts w:ascii="仿宋_GB2312" w:hAnsi="Times New Roman" w:eastAsia="仿宋_GB2312" w:cs="仿宋_GB2312"/>
          <w:color w:val="000000"/>
          <w:kern w:val="0"/>
          <w:sz w:val="32"/>
          <w:szCs w:val="32"/>
        </w:rPr>
      </w:pPr>
      <w:r>
        <w:rPr>
          <w:rFonts w:hint="eastAsia" w:ascii="仿宋_GB2312" w:hAnsi="仿宋_GB2312" w:eastAsia="仿宋_GB2312" w:cs="仿宋_GB2312"/>
          <w:sz w:val="32"/>
          <w:szCs w:val="32"/>
        </w:rPr>
        <w:t>根据《中华人民共和国政府信息公开条例》（以下简称新条例）、《国务院办公厅政府信息与政务公开办公室关于政府信息公开工作年度报告有关事项的通知》（国办公开办函〔2019〕60号）的要求和本单位工作实际，</w:t>
      </w:r>
      <w:r>
        <w:rPr>
          <w:rFonts w:hint="eastAsia" w:ascii="仿宋_GB2312" w:hAnsi="仿宋_GB2312" w:eastAsia="仿宋_GB2312" w:cs="仿宋_GB2312"/>
          <w:sz w:val="32"/>
          <w:szCs w:val="32"/>
          <w:lang w:eastAsia="zh-CN"/>
        </w:rPr>
        <w:t>宁化街道</w:t>
      </w:r>
      <w:r>
        <w:rPr>
          <w:rFonts w:hint="eastAsia" w:ascii="仿宋_GB2312" w:hAnsi="仿宋_GB2312" w:eastAsia="仿宋_GB2312" w:cs="仿宋_GB2312"/>
          <w:sz w:val="32"/>
          <w:szCs w:val="32"/>
        </w:rPr>
        <w:t>对全年政府信息公开工作情况进行总结。</w:t>
      </w:r>
      <w:r>
        <w:rPr>
          <w:rFonts w:hint="eastAsia" w:ascii="仿宋_GB2312" w:hAnsi="仿宋_GB2312" w:eastAsia="仿宋_GB2312" w:cs="仿宋_GB2312"/>
          <w:sz w:val="32"/>
          <w:szCs w:val="32"/>
          <w:lang w:val="zh-CN"/>
        </w:rPr>
        <w:t>报告全文由总体情况，主动公开政府信息情况，</w:t>
      </w:r>
      <w:r>
        <w:rPr>
          <w:rFonts w:hint="eastAsia" w:ascii="仿宋_GB2312" w:hAnsi="仿宋_GB2312" w:eastAsia="仿宋_GB2312" w:cs="仿宋_GB2312"/>
          <w:sz w:val="32"/>
          <w:szCs w:val="32"/>
        </w:rPr>
        <w:t>收到和处理政府</w:t>
      </w:r>
      <w:bookmarkStart w:id="0" w:name="_GoBack"/>
      <w:bookmarkEnd w:id="0"/>
      <w:r>
        <w:rPr>
          <w:rFonts w:hint="eastAsia" w:ascii="仿宋_GB2312" w:hAnsi="仿宋_GB2312" w:eastAsia="仿宋_GB2312" w:cs="仿宋_GB2312"/>
          <w:sz w:val="32"/>
          <w:szCs w:val="32"/>
        </w:rPr>
        <w:t>信息公开申请情况，政府信息公开行政复议、行政诉讼情况，存在的主要问题及改进情况，其他需要报告的事项</w:t>
      </w:r>
      <w:r>
        <w:rPr>
          <w:rFonts w:hint="eastAsia" w:ascii="仿宋_GB2312" w:hAnsi="仿宋_GB2312" w:eastAsia="仿宋_GB2312" w:cs="仿宋_GB2312"/>
          <w:sz w:val="32"/>
          <w:szCs w:val="32"/>
          <w:lang w:val="zh-CN"/>
        </w:rPr>
        <w:t>等六个部分组成。本报告中所列数据的统计期限自20</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zh-CN"/>
        </w:rPr>
        <w:t>年1月1日起至20</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zh-CN"/>
        </w:rPr>
        <w:t>年12月31日止。本报告在“福州市台江区人民政府”门户网站（http://</w:t>
      </w:r>
      <w:r>
        <w:rPr>
          <w:rFonts w:hint="eastAsia" w:ascii="仿宋_GB2312" w:hAnsi="仿宋_GB2312" w:eastAsia="仿宋_GB2312" w:cs="仿宋_GB2312"/>
          <w:sz w:val="32"/>
          <w:szCs w:val="32"/>
        </w:rPr>
        <w:t>www.taijiang</w:t>
      </w:r>
      <w:r>
        <w:rPr>
          <w:rFonts w:hint="eastAsia" w:ascii="仿宋_GB2312" w:hAnsi="仿宋_GB2312" w:eastAsia="仿宋_GB2312" w:cs="仿宋_GB2312"/>
          <w:sz w:val="32"/>
          <w:szCs w:val="32"/>
          <w:lang w:val="zh-CN"/>
        </w:rPr>
        <w:t>.gov.cn/）公布，并报送福州市台江区档案馆，欢迎查阅。</w:t>
      </w:r>
      <w:r>
        <w:rPr>
          <w:rFonts w:hint="eastAsia" w:ascii="仿宋" w:hAnsi="仿宋" w:eastAsia="仿宋" w:cs="仿宋"/>
          <w:sz w:val="32"/>
          <w:szCs w:val="32"/>
        </w:rPr>
        <w:t>本报告在“福州市台江区人民政府”门户网站（http://tjq.fuzhou.gov.cn/)公布，并报送福州市台江区档案馆，欢迎查阅。对本报告如有疑问，可与台江区宁化街道办事处联系 (地址：福建省福州市台江区西二环南路33号，邮编：350004，电话：0591-83891321，电子邮箱：tjqnhjd@163.com)。</w:t>
      </w:r>
    </w:p>
    <w:p>
      <w:pPr>
        <w:pStyle w:val="4"/>
        <w:widowControl/>
        <w:shd w:val="clear" w:color="auto" w:fill="FFFFFF"/>
        <w:spacing w:beforeAutospacing="0" w:afterAutospacing="0" w:line="560" w:lineRule="exact"/>
        <w:ind w:firstLine="640" w:firstLineChars="200"/>
        <w:jc w:val="both"/>
        <w:rPr>
          <w:rFonts w:ascii="黑体" w:hAnsi="黑体" w:eastAsia="黑体"/>
          <w:kern w:val="2"/>
          <w:sz w:val="32"/>
          <w:szCs w:val="32"/>
        </w:rPr>
      </w:pPr>
      <w:r>
        <w:rPr>
          <w:rFonts w:hint="eastAsia" w:ascii="黑体" w:hAnsi="黑体" w:eastAsia="黑体"/>
          <w:kern w:val="2"/>
          <w:sz w:val="32"/>
          <w:szCs w:val="32"/>
        </w:rPr>
        <w:t>一、总体情况</w:t>
      </w:r>
    </w:p>
    <w:p>
      <w:pPr>
        <w:spacing w:line="5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2020年，在区委、区政府的领导下，我街认真贯彻落实新《条例》、《国务院办公厅政府信息与政务公开办公室关于政府信息公开工作年度报告有关事项的通知》（国办公开办函〔2019〕60号）等文件要求，坚持以公开为常态、不公开为例外，遵循公正、公平、合法、便民的原则，有序推进政府信息公开工作。</w:t>
      </w:r>
    </w:p>
    <w:p>
      <w:pPr>
        <w:numPr>
          <w:ilvl w:val="0"/>
          <w:numId w:val="1"/>
        </w:numPr>
        <w:autoSpaceDE w:val="0"/>
        <w:autoSpaceDN w:val="0"/>
        <w:spacing w:before="100" w:line="560" w:lineRule="exact"/>
        <w:ind w:firstLine="640" w:firstLineChars="200"/>
        <w:rPr>
          <w:rFonts w:hint="eastAsia" w:ascii="楷体_GB2312" w:hAnsi="楷体_GB2312" w:eastAsia="楷体_GB2312" w:cs="楷体_GB2312"/>
          <w:color w:val="333333"/>
          <w:spacing w:val="8"/>
          <w:sz w:val="32"/>
          <w:szCs w:val="32"/>
          <w:shd w:val="clear" w:color="auto" w:fill="FFFFFF"/>
        </w:rPr>
      </w:pPr>
      <w:r>
        <w:rPr>
          <w:rFonts w:hint="eastAsia" w:ascii="楷体" w:hAnsi="楷体" w:eastAsia="楷体" w:cs="Times New Roman"/>
          <w:sz w:val="32"/>
          <w:szCs w:val="32"/>
        </w:rPr>
        <w:t>主动公开政府信息的数量</w:t>
      </w:r>
    </w:p>
    <w:p>
      <w:pPr>
        <w:autoSpaceDE w:val="0"/>
        <w:autoSpaceDN w:val="0"/>
        <w:spacing w:before="100" w:line="560" w:lineRule="exact"/>
        <w:ind w:left="672"/>
        <w:rPr>
          <w:rFonts w:ascii="楷体_GB2312" w:hAnsi="楷体_GB2312" w:eastAsia="楷体_GB2312" w:cs="楷体_GB2312"/>
          <w:color w:val="333333"/>
          <w:spacing w:val="8"/>
          <w:sz w:val="32"/>
          <w:szCs w:val="32"/>
          <w:shd w:val="clear" w:color="auto" w:fill="FFFFFF"/>
        </w:rPr>
      </w:pPr>
      <w:r>
        <w:rPr>
          <w:rFonts w:hint="eastAsia" w:ascii="仿宋_GB2312" w:hAnsi="仿宋_GB2312" w:eastAsia="仿宋_GB2312" w:cs="仿宋_GB2312"/>
          <w:sz w:val="32"/>
          <w:szCs w:val="32"/>
        </w:rPr>
        <w:t>2020年我街共公开政府信息17条，历年累计公开261条。</w:t>
      </w:r>
    </w:p>
    <w:p>
      <w:pPr>
        <w:numPr>
          <w:ilvl w:val="0"/>
          <w:numId w:val="1"/>
        </w:numPr>
        <w:autoSpaceDE w:val="0"/>
        <w:autoSpaceDN w:val="0"/>
        <w:spacing w:before="100" w:line="560" w:lineRule="exact"/>
        <w:ind w:firstLine="640" w:firstLineChars="200"/>
        <w:rPr>
          <w:rFonts w:ascii="楷体_GB2312" w:hAnsi="楷体_GB2312" w:eastAsia="楷体_GB2312" w:cs="楷体_GB2312"/>
          <w:color w:val="333333"/>
          <w:spacing w:val="8"/>
          <w:sz w:val="32"/>
          <w:szCs w:val="32"/>
          <w:shd w:val="clear" w:color="auto" w:fill="FFFFFF"/>
        </w:rPr>
      </w:pPr>
      <w:r>
        <w:rPr>
          <w:rFonts w:hint="eastAsia" w:ascii="楷体" w:hAnsi="楷体" w:eastAsia="楷体" w:cs="Times New Roman"/>
          <w:sz w:val="32"/>
          <w:szCs w:val="32"/>
        </w:rPr>
        <w:t>主动公开政府信息的主要类别</w:t>
      </w:r>
    </w:p>
    <w:p>
      <w:pPr>
        <w:spacing w:line="560" w:lineRule="exact"/>
        <w:ind w:firstLine="480" w:firstLineChars="150"/>
        <w:rPr>
          <w:rFonts w:ascii="仿宋" w:hAnsi="仿宋" w:eastAsia="仿宋" w:cs="Times New Roman"/>
          <w:sz w:val="32"/>
          <w:szCs w:val="32"/>
        </w:rPr>
      </w:pPr>
      <w:r>
        <w:rPr>
          <w:rFonts w:hint="eastAsia" w:ascii="仿宋_GB2312" w:hAnsi="仿宋_GB2312" w:eastAsia="仿宋_GB2312" w:cs="仿宋_GB2312"/>
          <w:sz w:val="32"/>
          <w:szCs w:val="32"/>
        </w:rPr>
        <w:t>2020我街在台江区人民政府门户网站上的政府信息公开专栏内公开政府信息的主要类别为业务公文与其他应主动公开的政府信息。其中业务公文3条；其他应主动公开的政府信息14条。</w:t>
      </w:r>
      <w:r>
        <w:rPr>
          <w:rFonts w:hint="eastAsia" w:ascii="仿宋" w:hAnsi="仿宋" w:eastAsia="仿宋" w:cs="Times New Roman"/>
          <w:sz w:val="32"/>
          <w:szCs w:val="32"/>
        </w:rPr>
        <w:t> </w:t>
      </w:r>
    </w:p>
    <w:p>
      <w:pPr>
        <w:numPr>
          <w:ilvl w:val="0"/>
          <w:numId w:val="1"/>
        </w:numPr>
        <w:autoSpaceDE w:val="0"/>
        <w:autoSpaceDN w:val="0"/>
        <w:spacing w:before="100"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主动公开政府信息形式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2020年，我街主要通过“福州市台江区人民政府”门户网站公开政府信息。全年所有主动公开的政府信息文件的电子文档和纸质材料均在文件生成后的20个工作日内移交台江区档案局，方便公众查阅。</w:t>
      </w:r>
    </w:p>
    <w:p>
      <w:pPr>
        <w:pStyle w:val="4"/>
        <w:widowControl/>
        <w:shd w:val="clear" w:color="auto" w:fill="FFFFFF"/>
        <w:spacing w:beforeAutospacing="0" w:afterAutospacing="0" w:line="560" w:lineRule="exact"/>
        <w:ind w:firstLine="420"/>
        <w:jc w:val="both"/>
        <w:rPr>
          <w:rFonts w:ascii="黑体" w:hAnsi="黑体" w:eastAsia="黑体"/>
          <w:kern w:val="2"/>
          <w:sz w:val="32"/>
          <w:szCs w:val="32"/>
        </w:rPr>
      </w:pPr>
      <w:r>
        <w:rPr>
          <w:rFonts w:hint="eastAsia" w:ascii="黑体" w:hAnsi="黑体" w:eastAsia="黑体"/>
          <w:kern w:val="2"/>
          <w:sz w:val="32"/>
          <w:szCs w:val="32"/>
        </w:rPr>
        <w:t>二、主动公开政府信息情况</w:t>
      </w:r>
    </w:p>
    <w:tbl>
      <w:tblPr>
        <w:tblStyle w:val="7"/>
        <w:tblW w:w="8140" w:type="dxa"/>
        <w:jc w:val="center"/>
        <w:tblInd w:w="0" w:type="dxa"/>
        <w:tblLayout w:type="fixed"/>
        <w:tblCellMar>
          <w:top w:w="0" w:type="dxa"/>
          <w:left w:w="0" w:type="dxa"/>
          <w:bottom w:w="0" w:type="dxa"/>
          <w:right w:w="0" w:type="dxa"/>
        </w:tblCellMar>
      </w:tblPr>
      <w:tblGrid>
        <w:gridCol w:w="3113"/>
        <w:gridCol w:w="1869"/>
        <w:gridCol w:w="1277"/>
        <w:gridCol w:w="1881"/>
      </w:tblGrid>
      <w:tr>
        <w:tblPrEx>
          <w:tblLayout w:type="fixed"/>
          <w:tblCellMar>
            <w:top w:w="0" w:type="dxa"/>
            <w:left w:w="0" w:type="dxa"/>
            <w:bottom w:w="0" w:type="dxa"/>
            <w:right w:w="0" w:type="dxa"/>
          </w:tblCellMar>
        </w:tblPrEx>
        <w:trPr>
          <w:trHeight w:val="495" w:hRule="atLeast"/>
          <w:jc w:val="center"/>
        </w:trPr>
        <w:tc>
          <w:tcPr>
            <w:tcW w:w="8140" w:type="dxa"/>
            <w:gridSpan w:val="4"/>
            <w:tcBorders>
              <w:top w:val="single" w:color="auto" w:sz="8" w:space="0"/>
              <w:left w:val="single" w:color="auto" w:sz="8" w:space="0"/>
              <w:bottom w:val="single" w:color="auto" w:sz="8" w:space="0"/>
              <w:right w:val="single" w:color="auto" w:sz="8" w:space="0"/>
            </w:tcBorders>
            <w:shd w:val="clear" w:color="auto" w:fill="C6D9F1"/>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第二十条第（一）项</w:t>
            </w:r>
          </w:p>
        </w:tc>
      </w:tr>
      <w:tr>
        <w:tblPrEx>
          <w:tblLayout w:type="fixed"/>
          <w:tblCellMar>
            <w:top w:w="0" w:type="dxa"/>
            <w:left w:w="0" w:type="dxa"/>
            <w:bottom w:w="0" w:type="dxa"/>
            <w:right w:w="0"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信息内容</w:t>
            </w:r>
          </w:p>
        </w:tc>
        <w:tc>
          <w:tcPr>
            <w:tcW w:w="186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本年新</w:t>
            </w:r>
            <w:r>
              <w:rPr>
                <w:rFonts w:hint="eastAsia" w:ascii="宋体" w:hAnsi="宋体" w:eastAsia="宋体" w:cs="宋体"/>
                <w:color w:val="000000"/>
                <w:kern w:val="0"/>
                <w:sz w:val="20"/>
                <w:szCs w:val="20"/>
              </w:rPr>
              <w:br w:type="textWrapping"/>
            </w:r>
            <w:r>
              <w:rPr>
                <w:kern w:val="0"/>
                <w:sz w:val="20"/>
                <w:szCs w:val="20"/>
              </w:rPr>
              <w:t>制作数量</w:t>
            </w:r>
          </w:p>
        </w:tc>
        <w:tc>
          <w:tcPr>
            <w:tcW w:w="127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本年新</w:t>
            </w:r>
            <w:r>
              <w:rPr>
                <w:rFonts w:hint="eastAsia" w:ascii="宋体" w:hAnsi="宋体" w:eastAsia="宋体" w:cs="宋体"/>
                <w:color w:val="000000"/>
                <w:kern w:val="0"/>
                <w:sz w:val="20"/>
                <w:szCs w:val="20"/>
              </w:rPr>
              <w:br w:type="textWrapping"/>
            </w:r>
            <w:r>
              <w:rPr>
                <w:kern w:val="0"/>
                <w:sz w:val="20"/>
                <w:szCs w:val="20"/>
              </w:rPr>
              <w:t>公开数量</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对外公开总数量</w:t>
            </w:r>
          </w:p>
        </w:tc>
      </w:tr>
      <w:tr>
        <w:tblPrEx>
          <w:tblLayout w:type="fixed"/>
          <w:tblCellMar>
            <w:top w:w="0" w:type="dxa"/>
            <w:left w:w="0" w:type="dxa"/>
            <w:bottom w:w="0" w:type="dxa"/>
            <w:right w:w="0"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left"/>
            </w:pPr>
            <w:r>
              <w:rPr>
                <w:rFonts w:hint="eastAsia" w:ascii="宋体" w:hAnsi="宋体" w:eastAsia="宋体" w:cs="宋体"/>
                <w:color w:val="000000"/>
                <w:kern w:val="0"/>
                <w:sz w:val="20"/>
                <w:szCs w:val="20"/>
              </w:rPr>
              <w:t>规章</w:t>
            </w:r>
          </w:p>
        </w:tc>
        <w:tc>
          <w:tcPr>
            <w:tcW w:w="186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eastAsia="宋体"/>
              </w:rPr>
            </w:pPr>
            <w:r>
              <w:rPr>
                <w:rFonts w:hint="eastAsia" w:ascii="宋体" w:hAnsi="宋体" w:eastAsia="宋体" w:cs="宋体"/>
                <w:color w:val="000000"/>
                <w:kern w:val="0"/>
                <w:sz w:val="20"/>
                <w:szCs w:val="20"/>
              </w:rPr>
              <w:t>0</w:t>
            </w:r>
          </w:p>
        </w:tc>
        <w:tc>
          <w:tcPr>
            <w:tcW w:w="127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r>
      <w:tr>
        <w:tblPrEx>
          <w:tblLayout w:type="fixed"/>
          <w:tblCellMar>
            <w:top w:w="0" w:type="dxa"/>
            <w:left w:w="0" w:type="dxa"/>
            <w:bottom w:w="0" w:type="dxa"/>
            <w:right w:w="0"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left"/>
            </w:pPr>
            <w:r>
              <w:rPr>
                <w:rFonts w:hint="eastAsia" w:ascii="宋体" w:hAnsi="宋体" w:eastAsia="宋体" w:cs="宋体"/>
                <w:color w:val="000000"/>
                <w:kern w:val="0"/>
                <w:sz w:val="20"/>
                <w:szCs w:val="20"/>
              </w:rPr>
              <w:t>规范性文件</w:t>
            </w:r>
          </w:p>
        </w:tc>
        <w:tc>
          <w:tcPr>
            <w:tcW w:w="186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eastAsia="宋体"/>
              </w:rPr>
            </w:pPr>
            <w:r>
              <w:rPr>
                <w:rFonts w:hint="eastAsia" w:ascii="宋体" w:hAnsi="宋体" w:eastAsia="宋体" w:cs="宋体"/>
                <w:color w:val="000000"/>
                <w:kern w:val="0"/>
                <w:sz w:val="20"/>
                <w:szCs w:val="20"/>
              </w:rPr>
              <w:t>0</w:t>
            </w:r>
          </w:p>
        </w:tc>
        <w:tc>
          <w:tcPr>
            <w:tcW w:w="127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eastAsia="宋体"/>
              </w:rPr>
            </w:pPr>
            <w:r>
              <w:rPr>
                <w:rFonts w:hint="eastAsia" w:ascii="宋体" w:hAnsi="宋体" w:eastAsia="宋体" w:cs="宋体"/>
                <w:color w:val="000000"/>
                <w:kern w:val="0"/>
                <w:sz w:val="20"/>
                <w:szCs w:val="20"/>
              </w:rPr>
              <w:t>0</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r>
      <w:tr>
        <w:tblPrEx>
          <w:tblLayout w:type="fixed"/>
          <w:tblCellMar>
            <w:top w:w="0" w:type="dxa"/>
            <w:left w:w="0" w:type="dxa"/>
            <w:bottom w:w="0" w:type="dxa"/>
            <w:right w:w="0" w:type="dxa"/>
          </w:tblCellMar>
        </w:tblPrEx>
        <w:trPr>
          <w:trHeight w:val="480"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第二十条第（五）项</w:t>
            </w:r>
          </w:p>
        </w:tc>
      </w:tr>
      <w:tr>
        <w:tblPrEx>
          <w:tblLayout w:type="fixed"/>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信息内容</w:t>
            </w:r>
          </w:p>
        </w:tc>
        <w:tc>
          <w:tcPr>
            <w:tcW w:w="186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上一年项目数量</w:t>
            </w:r>
          </w:p>
        </w:tc>
        <w:tc>
          <w:tcPr>
            <w:tcW w:w="127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本年增/减</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处理决定数量</w:t>
            </w:r>
          </w:p>
        </w:tc>
      </w:tr>
      <w:tr>
        <w:tblPrEx>
          <w:tblLayout w:type="fixed"/>
          <w:tblCellMar>
            <w:top w:w="0" w:type="dxa"/>
            <w:left w:w="0" w:type="dxa"/>
            <w:bottom w:w="0" w:type="dxa"/>
            <w:right w:w="0"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left"/>
            </w:pPr>
            <w:r>
              <w:rPr>
                <w:rFonts w:hint="eastAsia" w:ascii="宋体" w:hAnsi="宋体" w:eastAsia="宋体" w:cs="宋体"/>
                <w:color w:val="000000"/>
                <w:kern w:val="0"/>
                <w:sz w:val="20"/>
                <w:szCs w:val="20"/>
              </w:rPr>
              <w:t>行政许可</w:t>
            </w:r>
          </w:p>
        </w:tc>
        <w:tc>
          <w:tcPr>
            <w:tcW w:w="186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c>
          <w:tcPr>
            <w:tcW w:w="127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r>
      <w:tr>
        <w:tblPrEx>
          <w:tblLayout w:type="fixed"/>
          <w:tblCellMar>
            <w:top w:w="0" w:type="dxa"/>
            <w:left w:w="0" w:type="dxa"/>
            <w:bottom w:w="0" w:type="dxa"/>
            <w:right w:w="0" w:type="dxa"/>
          </w:tblCellMar>
        </w:tblPrEx>
        <w:trPr>
          <w:trHeight w:val="550"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left"/>
            </w:pPr>
            <w:r>
              <w:rPr>
                <w:rFonts w:hint="eastAsia" w:ascii="宋体" w:hAnsi="宋体" w:eastAsia="宋体" w:cs="宋体"/>
                <w:color w:val="000000"/>
                <w:kern w:val="0"/>
                <w:sz w:val="20"/>
                <w:szCs w:val="20"/>
              </w:rPr>
              <w:t>其他对外管理服务事项</w:t>
            </w:r>
          </w:p>
        </w:tc>
        <w:tc>
          <w:tcPr>
            <w:tcW w:w="186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c>
          <w:tcPr>
            <w:tcW w:w="127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r>
      <w:tr>
        <w:tblPrEx>
          <w:tblLayout w:type="fixed"/>
          <w:tblCellMar>
            <w:top w:w="0" w:type="dxa"/>
            <w:left w:w="0" w:type="dxa"/>
            <w:bottom w:w="0" w:type="dxa"/>
            <w:right w:w="0" w:type="dxa"/>
          </w:tblCellMar>
        </w:tblPrEx>
        <w:trPr>
          <w:trHeight w:val="406"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第二十条第（六）项</w:t>
            </w:r>
          </w:p>
        </w:tc>
      </w:tr>
      <w:tr>
        <w:tblPrEx>
          <w:tblLayout w:type="fixed"/>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信息内容</w:t>
            </w:r>
          </w:p>
        </w:tc>
        <w:tc>
          <w:tcPr>
            <w:tcW w:w="186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上一年项目数量</w:t>
            </w:r>
          </w:p>
        </w:tc>
        <w:tc>
          <w:tcPr>
            <w:tcW w:w="127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本年增/减</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处理决定数量</w:t>
            </w:r>
          </w:p>
        </w:tc>
      </w:tr>
      <w:tr>
        <w:tblPrEx>
          <w:tblLayout w:type="fixed"/>
          <w:tblCellMar>
            <w:top w:w="0" w:type="dxa"/>
            <w:left w:w="0" w:type="dxa"/>
            <w:bottom w:w="0" w:type="dxa"/>
            <w:right w:w="0"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left"/>
            </w:pPr>
            <w:r>
              <w:rPr>
                <w:rFonts w:hint="eastAsia" w:ascii="宋体" w:hAnsi="宋体" w:eastAsia="宋体" w:cs="宋体"/>
                <w:color w:val="000000"/>
                <w:kern w:val="0"/>
                <w:sz w:val="20"/>
                <w:szCs w:val="20"/>
              </w:rPr>
              <w:t>行政处罚</w:t>
            </w:r>
          </w:p>
        </w:tc>
        <w:tc>
          <w:tcPr>
            <w:tcW w:w="186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c>
          <w:tcPr>
            <w:tcW w:w="127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r>
      <w:tr>
        <w:tblPrEx>
          <w:tblLayout w:type="fixed"/>
          <w:tblCellMar>
            <w:top w:w="0" w:type="dxa"/>
            <w:left w:w="0" w:type="dxa"/>
            <w:bottom w:w="0" w:type="dxa"/>
            <w:right w:w="0"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left"/>
            </w:pPr>
            <w:r>
              <w:rPr>
                <w:rFonts w:hint="eastAsia" w:ascii="宋体" w:hAnsi="宋体" w:eastAsia="宋体" w:cs="宋体"/>
                <w:color w:val="000000"/>
                <w:kern w:val="0"/>
                <w:sz w:val="20"/>
                <w:szCs w:val="20"/>
              </w:rPr>
              <w:t>行政强制</w:t>
            </w:r>
          </w:p>
        </w:tc>
        <w:tc>
          <w:tcPr>
            <w:tcW w:w="186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c>
          <w:tcPr>
            <w:tcW w:w="127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c>
          <w:tcPr>
            <w:tcW w:w="188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r>
      <w:tr>
        <w:tblPrEx>
          <w:tblLayout w:type="fixed"/>
          <w:tblCellMar>
            <w:top w:w="0" w:type="dxa"/>
            <w:left w:w="0" w:type="dxa"/>
            <w:bottom w:w="0" w:type="dxa"/>
            <w:right w:w="0" w:type="dxa"/>
          </w:tblCellMar>
        </w:tblPrEx>
        <w:trPr>
          <w:trHeight w:val="474"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第二十条第（八）项</w:t>
            </w:r>
          </w:p>
        </w:tc>
      </w:tr>
      <w:tr>
        <w:tblPrEx>
          <w:tblLayout w:type="fixed"/>
          <w:tblCellMar>
            <w:top w:w="0" w:type="dxa"/>
            <w:left w:w="0" w:type="dxa"/>
            <w:bottom w:w="0" w:type="dxa"/>
            <w:right w:w="0"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信息内容</w:t>
            </w:r>
          </w:p>
        </w:tc>
        <w:tc>
          <w:tcPr>
            <w:tcW w:w="186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left"/>
            </w:pPr>
            <w:r>
              <w:rPr>
                <w:rFonts w:hint="eastAsia" w:ascii="宋体" w:hAnsi="宋体" w:eastAsia="宋体" w:cs="宋体"/>
                <w:color w:val="000000"/>
                <w:kern w:val="0"/>
                <w:sz w:val="20"/>
                <w:szCs w:val="20"/>
              </w:rPr>
              <w:t>上一年项目数量</w:t>
            </w:r>
          </w:p>
        </w:tc>
        <w:tc>
          <w:tcPr>
            <w:tcW w:w="3158" w:type="dxa"/>
            <w:gridSpan w:val="2"/>
            <w:tcBorders>
              <w:top w:val="single" w:color="auto" w:sz="8" w:space="0"/>
              <w:left w:val="nil"/>
              <w:bottom w:val="single" w:color="auto" w:sz="8" w:space="0"/>
              <w:right w:val="single" w:color="000000"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本年增/减</w:t>
            </w:r>
          </w:p>
        </w:tc>
      </w:tr>
      <w:tr>
        <w:tblPrEx>
          <w:tblLayout w:type="fixed"/>
          <w:tblCellMar>
            <w:top w:w="0" w:type="dxa"/>
            <w:left w:w="0" w:type="dxa"/>
            <w:bottom w:w="0" w:type="dxa"/>
            <w:right w:w="0"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left"/>
            </w:pPr>
            <w:r>
              <w:rPr>
                <w:rFonts w:hint="eastAsia" w:ascii="宋体" w:hAnsi="宋体" w:eastAsia="宋体" w:cs="宋体"/>
                <w:color w:val="000000"/>
                <w:kern w:val="0"/>
                <w:sz w:val="20"/>
                <w:szCs w:val="20"/>
              </w:rPr>
              <w:t>行政事业性收费</w:t>
            </w:r>
          </w:p>
        </w:tc>
        <w:tc>
          <w:tcPr>
            <w:tcW w:w="186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c>
          <w:tcPr>
            <w:tcW w:w="3158" w:type="dxa"/>
            <w:gridSpan w:val="2"/>
            <w:tcBorders>
              <w:top w:val="nil"/>
              <w:left w:val="nil"/>
              <w:bottom w:val="single" w:color="auto" w:sz="8" w:space="0"/>
              <w:right w:val="single" w:color="000000"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r>
      <w:tr>
        <w:tblPrEx>
          <w:tblLayout w:type="fixed"/>
          <w:tblCellMar>
            <w:top w:w="0" w:type="dxa"/>
            <w:left w:w="0" w:type="dxa"/>
            <w:bottom w:w="0" w:type="dxa"/>
            <w:right w:w="0" w:type="dxa"/>
          </w:tblCellMar>
        </w:tblPrEx>
        <w:trPr>
          <w:trHeight w:val="476"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第二十条第（九）项</w:t>
            </w:r>
          </w:p>
        </w:tc>
      </w:tr>
      <w:tr>
        <w:tblPrEx>
          <w:tblLayout w:type="fixed"/>
          <w:tblCellMar>
            <w:top w:w="0" w:type="dxa"/>
            <w:left w:w="0" w:type="dxa"/>
            <w:bottom w:w="0" w:type="dxa"/>
            <w:right w:w="0" w:type="dxa"/>
          </w:tblCellMar>
        </w:tblPrEx>
        <w:trPr>
          <w:trHeight w:val="585"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信息内容</w:t>
            </w:r>
          </w:p>
        </w:tc>
        <w:tc>
          <w:tcPr>
            <w:tcW w:w="186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采购项目数量</w:t>
            </w:r>
          </w:p>
        </w:tc>
        <w:tc>
          <w:tcPr>
            <w:tcW w:w="3158" w:type="dxa"/>
            <w:gridSpan w:val="2"/>
            <w:tcBorders>
              <w:top w:val="single" w:color="auto" w:sz="8" w:space="0"/>
              <w:left w:val="nil"/>
              <w:bottom w:val="single" w:color="auto" w:sz="8" w:space="0"/>
              <w:right w:val="single" w:color="000000"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采购总金额</w:t>
            </w:r>
          </w:p>
        </w:tc>
      </w:tr>
      <w:tr>
        <w:tblPrEx>
          <w:tblLayout w:type="fixed"/>
          <w:tblCellMar>
            <w:top w:w="0" w:type="dxa"/>
            <w:left w:w="0" w:type="dxa"/>
            <w:bottom w:w="0" w:type="dxa"/>
            <w:right w:w="0" w:type="dxa"/>
          </w:tblCellMar>
        </w:tblPrEx>
        <w:trPr>
          <w:trHeight w:val="539" w:hRule="atLeast"/>
          <w:jc w:val="center"/>
        </w:trPr>
        <w:tc>
          <w:tcPr>
            <w:tcW w:w="311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left"/>
            </w:pPr>
            <w:r>
              <w:rPr>
                <w:rFonts w:hint="eastAsia" w:ascii="宋体" w:hAnsi="宋体" w:eastAsia="宋体" w:cs="宋体"/>
                <w:color w:val="000000"/>
                <w:kern w:val="0"/>
                <w:sz w:val="20"/>
                <w:szCs w:val="20"/>
              </w:rPr>
              <w:t>政府集中采购</w:t>
            </w:r>
          </w:p>
        </w:tc>
        <w:tc>
          <w:tcPr>
            <w:tcW w:w="186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eastAsia="宋体"/>
              </w:rPr>
            </w:pPr>
            <w:r>
              <w:rPr>
                <w:rFonts w:hint="eastAsia" w:ascii="宋体"/>
                <w:sz w:val="24"/>
              </w:rPr>
              <w:t>8</w:t>
            </w:r>
          </w:p>
        </w:tc>
        <w:tc>
          <w:tcPr>
            <w:tcW w:w="3158" w:type="dxa"/>
            <w:gridSpan w:val="2"/>
            <w:tcBorders>
              <w:top w:val="nil"/>
              <w:left w:val="nil"/>
              <w:bottom w:val="single" w:color="auto" w:sz="8" w:space="0"/>
              <w:right w:val="single" w:color="000000" w:sz="8" w:space="0"/>
            </w:tcBorders>
            <w:shd w:val="clear" w:color="auto" w:fill="auto"/>
            <w:tcMar>
              <w:left w:w="108" w:type="dxa"/>
              <w:right w:w="108" w:type="dxa"/>
            </w:tcMar>
            <w:vAlign w:val="center"/>
          </w:tcPr>
          <w:p>
            <w:pPr>
              <w:jc w:val="center"/>
              <w:rPr>
                <w:rFonts w:ascii="宋体"/>
                <w:sz w:val="24"/>
              </w:rPr>
            </w:pPr>
            <w:r>
              <w:rPr>
                <w:rFonts w:hint="eastAsia" w:ascii="宋体"/>
                <w:sz w:val="24"/>
              </w:rPr>
              <w:t>34105</w:t>
            </w:r>
          </w:p>
        </w:tc>
      </w:tr>
    </w:tbl>
    <w:p>
      <w:pPr>
        <w:pStyle w:val="4"/>
        <w:widowControl/>
        <w:shd w:val="clear" w:color="auto" w:fill="FFFFFF"/>
        <w:spacing w:beforeAutospacing="0" w:after="240" w:afterAutospacing="0"/>
        <w:jc w:val="both"/>
        <w:rPr>
          <w:rFonts w:ascii="宋体" w:hAnsi="宋体" w:eastAsia="宋体" w:cs="宋体"/>
          <w:b/>
          <w:color w:val="333333"/>
          <w:shd w:val="clear" w:color="auto" w:fill="FFFFFF"/>
        </w:rPr>
      </w:pPr>
    </w:p>
    <w:p>
      <w:pPr>
        <w:pStyle w:val="4"/>
        <w:widowControl/>
        <w:shd w:val="clear" w:color="auto" w:fill="FFFFFF"/>
        <w:spacing w:beforeAutospacing="0" w:afterAutospacing="0"/>
        <w:ind w:firstLine="420"/>
        <w:jc w:val="both"/>
        <w:rPr>
          <w:rFonts w:ascii="黑体" w:hAnsi="黑体" w:eastAsia="黑体"/>
          <w:kern w:val="2"/>
          <w:sz w:val="32"/>
          <w:szCs w:val="32"/>
        </w:rPr>
      </w:pPr>
      <w:r>
        <w:rPr>
          <w:rFonts w:hint="eastAsia" w:ascii="黑体" w:hAnsi="黑体" w:eastAsia="黑体"/>
          <w:kern w:val="2"/>
          <w:sz w:val="32"/>
          <w:szCs w:val="32"/>
        </w:rPr>
        <w:t>三、收到和处理政府信息公开申请情况</w:t>
      </w:r>
    </w:p>
    <w:tbl>
      <w:tblPr>
        <w:tblStyle w:val="7"/>
        <w:tblW w:w="9071"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8"/>
        <w:gridCol w:w="854"/>
        <w:gridCol w:w="2086"/>
        <w:gridCol w:w="814"/>
        <w:gridCol w:w="755"/>
        <w:gridCol w:w="755"/>
        <w:gridCol w:w="814"/>
        <w:gridCol w:w="974"/>
        <w:gridCol w:w="712"/>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558"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（本列数据的勾稽关系为：第一项加第二项之和，等于第三项加第四项之和）</w:t>
            </w:r>
          </w:p>
        </w:tc>
        <w:tc>
          <w:tcPr>
            <w:tcW w:w="5513"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558"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81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自然人</w:t>
            </w:r>
          </w:p>
        </w:tc>
        <w:tc>
          <w:tcPr>
            <w:tcW w:w="401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法人或其他组织</w:t>
            </w:r>
          </w:p>
        </w:tc>
        <w:tc>
          <w:tcPr>
            <w:tcW w:w="689"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558"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81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商业企业</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科研机构</w:t>
            </w:r>
          </w:p>
        </w:tc>
        <w:tc>
          <w:tcPr>
            <w:tcW w:w="81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社会公益组织</w:t>
            </w:r>
          </w:p>
        </w:tc>
        <w:tc>
          <w:tcPr>
            <w:tcW w:w="97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法律服务机构</w:t>
            </w:r>
          </w:p>
        </w:tc>
        <w:tc>
          <w:tcPr>
            <w:tcW w:w="71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其他</w:t>
            </w:r>
          </w:p>
        </w:tc>
        <w:tc>
          <w:tcPr>
            <w:tcW w:w="68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558"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left"/>
            </w:pPr>
            <w:r>
              <w:rPr>
                <w:rFonts w:hint="eastAsia" w:ascii="宋体" w:hAnsi="宋体" w:eastAsia="宋体" w:cs="宋体"/>
                <w:kern w:val="0"/>
                <w:sz w:val="20"/>
                <w:szCs w:val="20"/>
              </w:rPr>
              <w:t>一、本年新收政府信息公开申请数量</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c>
          <w:tcPr>
            <w:tcW w:w="97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c>
          <w:tcPr>
            <w:tcW w:w="71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558" w:type="dxa"/>
            <w:gridSpan w:val="3"/>
            <w:tcBorders>
              <w:top w:val="nil"/>
              <w:left w:val="single" w:color="auto" w:sz="8" w:space="0"/>
              <w:bottom w:val="single" w:color="auto" w:sz="4" w:space="0"/>
              <w:right w:val="single" w:color="auto" w:sz="8" w:space="0"/>
            </w:tcBorders>
            <w:shd w:val="clear" w:color="auto" w:fill="auto"/>
            <w:tcMar>
              <w:left w:w="108" w:type="dxa"/>
              <w:right w:w="108" w:type="dxa"/>
            </w:tcMar>
            <w:vAlign w:val="center"/>
          </w:tcPr>
          <w:p>
            <w:pPr>
              <w:widowControl/>
              <w:spacing w:after="180"/>
              <w:jc w:val="left"/>
            </w:pPr>
            <w:r>
              <w:rPr>
                <w:rFonts w:hint="eastAsia" w:ascii="宋体" w:hAnsi="宋体" w:eastAsia="宋体" w:cs="宋体"/>
                <w:kern w:val="0"/>
                <w:sz w:val="20"/>
                <w:szCs w:val="20"/>
              </w:rPr>
              <w:t>二、上年结转政府信息公开申请数量</w:t>
            </w:r>
          </w:p>
        </w:tc>
        <w:tc>
          <w:tcPr>
            <w:tcW w:w="814" w:type="dxa"/>
            <w:tcBorders>
              <w:top w:val="nil"/>
              <w:left w:val="nil"/>
              <w:bottom w:val="single" w:color="auto" w:sz="4"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c>
          <w:tcPr>
            <w:tcW w:w="755" w:type="dxa"/>
            <w:tcBorders>
              <w:top w:val="nil"/>
              <w:left w:val="nil"/>
              <w:bottom w:val="single" w:color="auto" w:sz="4"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c>
          <w:tcPr>
            <w:tcW w:w="755" w:type="dxa"/>
            <w:tcBorders>
              <w:top w:val="nil"/>
              <w:left w:val="nil"/>
              <w:bottom w:val="single" w:color="auto" w:sz="4"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c>
          <w:tcPr>
            <w:tcW w:w="814" w:type="dxa"/>
            <w:tcBorders>
              <w:top w:val="nil"/>
              <w:left w:val="nil"/>
              <w:bottom w:val="single" w:color="auto" w:sz="4"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c>
          <w:tcPr>
            <w:tcW w:w="974" w:type="dxa"/>
            <w:tcBorders>
              <w:top w:val="nil"/>
              <w:left w:val="nil"/>
              <w:bottom w:val="single" w:color="auto" w:sz="4"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c>
          <w:tcPr>
            <w:tcW w:w="712" w:type="dxa"/>
            <w:tcBorders>
              <w:top w:val="nil"/>
              <w:left w:val="nil"/>
              <w:bottom w:val="single" w:color="auto" w:sz="4"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c>
          <w:tcPr>
            <w:tcW w:w="689" w:type="dxa"/>
            <w:tcBorders>
              <w:top w:val="nil"/>
              <w:left w:val="nil"/>
              <w:bottom w:val="single" w:color="auto" w:sz="4"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18"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三、本年度办理结果</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left"/>
            </w:pPr>
            <w:r>
              <w:rPr>
                <w:rFonts w:ascii="楷体" w:hAnsi="楷体" w:eastAsia="楷体" w:cs="楷体"/>
                <w:kern w:val="0"/>
                <w:sz w:val="20"/>
                <w:szCs w:val="20"/>
              </w:rPr>
              <w:t>（一）予以公开</w:t>
            </w:r>
          </w:p>
        </w:tc>
        <w:tc>
          <w:tcPr>
            <w:tcW w:w="81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c>
          <w:tcPr>
            <w:tcW w:w="7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c>
          <w:tcPr>
            <w:tcW w:w="7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c>
          <w:tcPr>
            <w:tcW w:w="81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c>
          <w:tcPr>
            <w:tcW w:w="97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c>
          <w:tcPr>
            <w:tcW w:w="71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c>
          <w:tcPr>
            <w:tcW w:w="68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1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ascii="宋体"/>
                <w:sz w:val="24"/>
              </w:rPr>
            </w:pP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left"/>
            </w:pPr>
            <w:r>
              <w:rPr>
                <w:rFonts w:hint="eastAsia" w:ascii="楷体" w:hAnsi="楷体" w:eastAsia="楷体" w:cs="楷体"/>
                <w:kern w:val="0"/>
                <w:sz w:val="20"/>
                <w:szCs w:val="20"/>
              </w:rPr>
              <w:t>（二）部分公开（区分处理的，只计这一情形，不计其他情形）</w:t>
            </w:r>
          </w:p>
        </w:tc>
        <w:tc>
          <w:tcPr>
            <w:tcW w:w="81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c>
          <w:tcPr>
            <w:tcW w:w="7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c>
          <w:tcPr>
            <w:tcW w:w="7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c>
          <w:tcPr>
            <w:tcW w:w="81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c>
          <w:tcPr>
            <w:tcW w:w="97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c>
          <w:tcPr>
            <w:tcW w:w="71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c>
          <w:tcPr>
            <w:tcW w:w="68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1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ascii="宋体"/>
                <w:sz w:val="24"/>
              </w:rPr>
            </w:pPr>
          </w:p>
        </w:tc>
        <w:tc>
          <w:tcPr>
            <w:tcW w:w="854"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left"/>
            </w:pPr>
            <w:r>
              <w:rPr>
                <w:rFonts w:hint="eastAsia" w:ascii="楷体" w:hAnsi="楷体" w:eastAsia="楷体" w:cs="楷体"/>
                <w:kern w:val="0"/>
                <w:sz w:val="20"/>
                <w:szCs w:val="20"/>
              </w:rPr>
              <w:t>（三）不予公开</w:t>
            </w:r>
          </w:p>
        </w:tc>
        <w:tc>
          <w:tcPr>
            <w:tcW w:w="208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left"/>
            </w:pPr>
            <w:r>
              <w:rPr>
                <w:rFonts w:hint="eastAsia" w:ascii="楷体" w:hAnsi="楷体" w:eastAsia="楷体" w:cs="楷体"/>
                <w:kern w:val="0"/>
                <w:sz w:val="20"/>
                <w:szCs w:val="20"/>
              </w:rPr>
              <w:t>1.属于国家秘密</w:t>
            </w:r>
          </w:p>
        </w:tc>
        <w:tc>
          <w:tcPr>
            <w:tcW w:w="81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c>
          <w:tcPr>
            <w:tcW w:w="7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c>
          <w:tcPr>
            <w:tcW w:w="7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c>
          <w:tcPr>
            <w:tcW w:w="81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c>
          <w:tcPr>
            <w:tcW w:w="97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c>
          <w:tcPr>
            <w:tcW w:w="71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c>
          <w:tcPr>
            <w:tcW w:w="68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1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ascii="宋体"/>
                <w:sz w:val="24"/>
              </w:rPr>
            </w:pPr>
          </w:p>
        </w:tc>
        <w:tc>
          <w:tcPr>
            <w:tcW w:w="85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ascii="宋体"/>
                <w:sz w:val="24"/>
              </w:rPr>
            </w:pPr>
          </w:p>
        </w:tc>
        <w:tc>
          <w:tcPr>
            <w:tcW w:w="208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left"/>
            </w:pPr>
            <w:r>
              <w:rPr>
                <w:rFonts w:hint="eastAsia" w:ascii="楷体" w:hAnsi="楷体" w:eastAsia="楷体" w:cs="楷体"/>
                <w:kern w:val="0"/>
                <w:sz w:val="20"/>
                <w:szCs w:val="20"/>
              </w:rPr>
              <w:t>2.其他法律行政法规禁止公开</w:t>
            </w:r>
          </w:p>
        </w:tc>
        <w:tc>
          <w:tcPr>
            <w:tcW w:w="81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81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97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1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68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1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ascii="宋体"/>
                <w:sz w:val="24"/>
              </w:rPr>
            </w:pPr>
          </w:p>
        </w:tc>
        <w:tc>
          <w:tcPr>
            <w:tcW w:w="85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ascii="宋体"/>
                <w:sz w:val="24"/>
              </w:rPr>
            </w:pPr>
          </w:p>
        </w:tc>
        <w:tc>
          <w:tcPr>
            <w:tcW w:w="208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left"/>
            </w:pPr>
            <w:r>
              <w:rPr>
                <w:rFonts w:hint="eastAsia" w:ascii="楷体" w:hAnsi="楷体" w:eastAsia="楷体" w:cs="楷体"/>
                <w:kern w:val="0"/>
                <w:sz w:val="20"/>
                <w:szCs w:val="20"/>
              </w:rPr>
              <w:t>3.危及“三安全一稳定”</w:t>
            </w:r>
          </w:p>
        </w:tc>
        <w:tc>
          <w:tcPr>
            <w:tcW w:w="81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81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97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1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68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1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ascii="宋体"/>
                <w:sz w:val="24"/>
              </w:rPr>
            </w:pPr>
          </w:p>
        </w:tc>
        <w:tc>
          <w:tcPr>
            <w:tcW w:w="85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ascii="宋体"/>
                <w:sz w:val="24"/>
              </w:rPr>
            </w:pPr>
          </w:p>
        </w:tc>
        <w:tc>
          <w:tcPr>
            <w:tcW w:w="208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left"/>
            </w:pPr>
            <w:r>
              <w:rPr>
                <w:rFonts w:hint="eastAsia" w:ascii="楷体" w:hAnsi="楷体" w:eastAsia="楷体" w:cs="楷体"/>
                <w:kern w:val="0"/>
                <w:sz w:val="20"/>
                <w:szCs w:val="20"/>
              </w:rPr>
              <w:t>4.保护第三方合法权益</w:t>
            </w:r>
          </w:p>
        </w:tc>
        <w:tc>
          <w:tcPr>
            <w:tcW w:w="81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81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97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1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68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1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ascii="宋体"/>
                <w:sz w:val="24"/>
              </w:rPr>
            </w:pPr>
          </w:p>
        </w:tc>
        <w:tc>
          <w:tcPr>
            <w:tcW w:w="85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ascii="宋体"/>
                <w:sz w:val="24"/>
              </w:rPr>
            </w:pPr>
          </w:p>
        </w:tc>
        <w:tc>
          <w:tcPr>
            <w:tcW w:w="208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left"/>
            </w:pPr>
            <w:r>
              <w:rPr>
                <w:rFonts w:hint="eastAsia" w:ascii="楷体" w:hAnsi="楷体" w:eastAsia="楷体" w:cs="楷体"/>
                <w:kern w:val="0"/>
                <w:sz w:val="20"/>
                <w:szCs w:val="20"/>
              </w:rPr>
              <w:t>5.属于三类内部事务信息</w:t>
            </w:r>
          </w:p>
        </w:tc>
        <w:tc>
          <w:tcPr>
            <w:tcW w:w="81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81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97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1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68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1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ascii="宋体"/>
                <w:sz w:val="24"/>
              </w:rPr>
            </w:pPr>
          </w:p>
        </w:tc>
        <w:tc>
          <w:tcPr>
            <w:tcW w:w="85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ascii="宋体"/>
                <w:sz w:val="24"/>
              </w:rPr>
            </w:pPr>
          </w:p>
        </w:tc>
        <w:tc>
          <w:tcPr>
            <w:tcW w:w="208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left"/>
            </w:pPr>
            <w:r>
              <w:rPr>
                <w:rFonts w:hint="eastAsia" w:ascii="楷体" w:hAnsi="楷体" w:eastAsia="楷体" w:cs="楷体"/>
                <w:kern w:val="0"/>
                <w:sz w:val="20"/>
                <w:szCs w:val="20"/>
              </w:rPr>
              <w:t>6.属于四类过程性信息</w:t>
            </w:r>
          </w:p>
        </w:tc>
        <w:tc>
          <w:tcPr>
            <w:tcW w:w="81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81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97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1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68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1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ascii="宋体"/>
                <w:sz w:val="24"/>
              </w:rPr>
            </w:pPr>
          </w:p>
        </w:tc>
        <w:tc>
          <w:tcPr>
            <w:tcW w:w="85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ascii="宋体"/>
                <w:sz w:val="24"/>
              </w:rPr>
            </w:pPr>
          </w:p>
        </w:tc>
        <w:tc>
          <w:tcPr>
            <w:tcW w:w="208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left"/>
            </w:pPr>
            <w:r>
              <w:rPr>
                <w:rFonts w:hint="eastAsia" w:ascii="楷体" w:hAnsi="楷体" w:eastAsia="楷体" w:cs="楷体"/>
                <w:kern w:val="0"/>
                <w:sz w:val="20"/>
                <w:szCs w:val="20"/>
              </w:rPr>
              <w:t>7.属于行政执法案卷</w:t>
            </w:r>
          </w:p>
        </w:tc>
        <w:tc>
          <w:tcPr>
            <w:tcW w:w="81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81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97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1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68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1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ascii="宋体"/>
                <w:sz w:val="24"/>
              </w:rPr>
            </w:pPr>
          </w:p>
        </w:tc>
        <w:tc>
          <w:tcPr>
            <w:tcW w:w="85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ascii="宋体"/>
                <w:sz w:val="24"/>
              </w:rPr>
            </w:pPr>
          </w:p>
        </w:tc>
        <w:tc>
          <w:tcPr>
            <w:tcW w:w="208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left"/>
            </w:pPr>
            <w:r>
              <w:rPr>
                <w:rFonts w:hint="eastAsia" w:ascii="楷体" w:hAnsi="楷体" w:eastAsia="楷体" w:cs="楷体"/>
                <w:kern w:val="0"/>
                <w:sz w:val="20"/>
                <w:szCs w:val="20"/>
              </w:rPr>
              <w:t>8.属于行政查询事项</w:t>
            </w:r>
          </w:p>
        </w:tc>
        <w:tc>
          <w:tcPr>
            <w:tcW w:w="81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81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97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1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68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1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ascii="宋体"/>
                <w:sz w:val="24"/>
              </w:rPr>
            </w:pPr>
          </w:p>
        </w:tc>
        <w:tc>
          <w:tcPr>
            <w:tcW w:w="854"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left"/>
            </w:pPr>
            <w:r>
              <w:rPr>
                <w:rFonts w:hint="eastAsia" w:ascii="楷体" w:hAnsi="楷体" w:eastAsia="楷体" w:cs="楷体"/>
                <w:kern w:val="0"/>
                <w:sz w:val="20"/>
                <w:szCs w:val="20"/>
              </w:rPr>
              <w:t>（四）无法提供</w:t>
            </w:r>
          </w:p>
        </w:tc>
        <w:tc>
          <w:tcPr>
            <w:tcW w:w="208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left"/>
            </w:pPr>
            <w:r>
              <w:rPr>
                <w:rFonts w:hint="eastAsia" w:ascii="楷体" w:hAnsi="楷体" w:eastAsia="楷体" w:cs="楷体"/>
                <w:kern w:val="0"/>
                <w:sz w:val="20"/>
                <w:szCs w:val="20"/>
              </w:rPr>
              <w:t>1.本机关不掌握相关政府信息</w:t>
            </w:r>
          </w:p>
        </w:tc>
        <w:tc>
          <w:tcPr>
            <w:tcW w:w="81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81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97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1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68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1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ascii="宋体"/>
                <w:sz w:val="24"/>
              </w:rPr>
            </w:pPr>
          </w:p>
        </w:tc>
        <w:tc>
          <w:tcPr>
            <w:tcW w:w="85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ascii="宋体"/>
                <w:sz w:val="24"/>
              </w:rPr>
            </w:pPr>
          </w:p>
        </w:tc>
        <w:tc>
          <w:tcPr>
            <w:tcW w:w="208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left"/>
            </w:pPr>
            <w:r>
              <w:rPr>
                <w:rFonts w:hint="eastAsia" w:ascii="楷体" w:hAnsi="楷体" w:eastAsia="楷体" w:cs="楷体"/>
                <w:kern w:val="0"/>
                <w:sz w:val="20"/>
                <w:szCs w:val="20"/>
              </w:rPr>
              <w:t>2.没有现成信息需要另行制作</w:t>
            </w:r>
          </w:p>
        </w:tc>
        <w:tc>
          <w:tcPr>
            <w:tcW w:w="81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81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97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1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68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1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ascii="宋体"/>
                <w:sz w:val="24"/>
              </w:rPr>
            </w:pPr>
          </w:p>
        </w:tc>
        <w:tc>
          <w:tcPr>
            <w:tcW w:w="85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ascii="宋体"/>
                <w:sz w:val="24"/>
              </w:rPr>
            </w:pPr>
          </w:p>
        </w:tc>
        <w:tc>
          <w:tcPr>
            <w:tcW w:w="208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left"/>
            </w:pPr>
            <w:r>
              <w:rPr>
                <w:rFonts w:hint="eastAsia" w:ascii="楷体" w:hAnsi="楷体" w:eastAsia="楷体" w:cs="楷体"/>
                <w:kern w:val="0"/>
                <w:sz w:val="20"/>
                <w:szCs w:val="20"/>
              </w:rPr>
              <w:t>3.补正后申请内容仍不明确</w:t>
            </w:r>
          </w:p>
        </w:tc>
        <w:tc>
          <w:tcPr>
            <w:tcW w:w="81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81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97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1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68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1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ascii="宋体"/>
                <w:sz w:val="24"/>
              </w:rPr>
            </w:pPr>
          </w:p>
        </w:tc>
        <w:tc>
          <w:tcPr>
            <w:tcW w:w="854"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left"/>
            </w:pPr>
            <w:r>
              <w:rPr>
                <w:rFonts w:hint="eastAsia" w:ascii="楷体" w:hAnsi="楷体" w:eastAsia="楷体" w:cs="楷体"/>
                <w:kern w:val="0"/>
                <w:sz w:val="20"/>
                <w:szCs w:val="20"/>
              </w:rPr>
              <w:t>（五）不予处理</w:t>
            </w:r>
          </w:p>
        </w:tc>
        <w:tc>
          <w:tcPr>
            <w:tcW w:w="208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left"/>
            </w:pPr>
            <w:r>
              <w:rPr>
                <w:rFonts w:hint="eastAsia" w:ascii="楷体" w:hAnsi="楷体" w:eastAsia="楷体" w:cs="楷体"/>
                <w:kern w:val="0"/>
                <w:sz w:val="20"/>
                <w:szCs w:val="20"/>
              </w:rPr>
              <w:t>1.信访举报投诉类申请</w:t>
            </w:r>
          </w:p>
        </w:tc>
        <w:tc>
          <w:tcPr>
            <w:tcW w:w="81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81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97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1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68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1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ascii="宋体"/>
                <w:sz w:val="24"/>
              </w:rPr>
            </w:pPr>
          </w:p>
        </w:tc>
        <w:tc>
          <w:tcPr>
            <w:tcW w:w="85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ascii="宋体"/>
                <w:sz w:val="24"/>
              </w:rPr>
            </w:pPr>
          </w:p>
        </w:tc>
        <w:tc>
          <w:tcPr>
            <w:tcW w:w="208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left"/>
            </w:pPr>
            <w:r>
              <w:rPr>
                <w:rFonts w:hint="eastAsia" w:ascii="楷体" w:hAnsi="楷体" w:eastAsia="楷体" w:cs="楷体"/>
                <w:kern w:val="0"/>
                <w:sz w:val="20"/>
                <w:szCs w:val="20"/>
              </w:rPr>
              <w:t>2.重复申请</w:t>
            </w:r>
          </w:p>
        </w:tc>
        <w:tc>
          <w:tcPr>
            <w:tcW w:w="81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81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97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1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68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1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ascii="宋体"/>
                <w:sz w:val="24"/>
              </w:rPr>
            </w:pPr>
          </w:p>
        </w:tc>
        <w:tc>
          <w:tcPr>
            <w:tcW w:w="85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ascii="宋体"/>
                <w:sz w:val="24"/>
              </w:rPr>
            </w:pPr>
          </w:p>
        </w:tc>
        <w:tc>
          <w:tcPr>
            <w:tcW w:w="208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left"/>
            </w:pPr>
            <w:r>
              <w:rPr>
                <w:rFonts w:hint="eastAsia" w:ascii="楷体" w:hAnsi="楷体" w:eastAsia="楷体" w:cs="楷体"/>
                <w:kern w:val="0"/>
                <w:sz w:val="20"/>
                <w:szCs w:val="20"/>
              </w:rPr>
              <w:t>3.要求提供公开出版物</w:t>
            </w:r>
          </w:p>
        </w:tc>
        <w:tc>
          <w:tcPr>
            <w:tcW w:w="81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81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97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1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68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1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ascii="宋体"/>
                <w:sz w:val="24"/>
              </w:rPr>
            </w:pPr>
          </w:p>
        </w:tc>
        <w:tc>
          <w:tcPr>
            <w:tcW w:w="85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ascii="宋体"/>
                <w:sz w:val="24"/>
              </w:rPr>
            </w:pPr>
          </w:p>
        </w:tc>
        <w:tc>
          <w:tcPr>
            <w:tcW w:w="208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left"/>
            </w:pPr>
            <w:r>
              <w:rPr>
                <w:rFonts w:hint="eastAsia" w:ascii="楷体" w:hAnsi="楷体" w:eastAsia="楷体" w:cs="楷体"/>
                <w:kern w:val="0"/>
                <w:sz w:val="20"/>
                <w:szCs w:val="20"/>
              </w:rPr>
              <w:t>4.无正当理由大量反复申请</w:t>
            </w:r>
          </w:p>
        </w:tc>
        <w:tc>
          <w:tcPr>
            <w:tcW w:w="81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81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97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1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68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1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ascii="宋体"/>
                <w:sz w:val="24"/>
              </w:rPr>
            </w:pPr>
          </w:p>
        </w:tc>
        <w:tc>
          <w:tcPr>
            <w:tcW w:w="85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ascii="宋体"/>
                <w:sz w:val="24"/>
              </w:rPr>
            </w:pPr>
          </w:p>
        </w:tc>
        <w:tc>
          <w:tcPr>
            <w:tcW w:w="208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left"/>
            </w:pPr>
            <w:r>
              <w:rPr>
                <w:rFonts w:hint="eastAsia" w:ascii="楷体" w:hAnsi="楷体" w:eastAsia="楷体" w:cs="楷体"/>
                <w:kern w:val="0"/>
                <w:sz w:val="20"/>
                <w:szCs w:val="20"/>
              </w:rPr>
              <w:t>5.要求行政机关确认或重新出具已获取信息</w:t>
            </w:r>
          </w:p>
        </w:tc>
        <w:tc>
          <w:tcPr>
            <w:tcW w:w="81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81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97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1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68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1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ascii="宋体"/>
                <w:sz w:val="24"/>
              </w:rPr>
            </w:pP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left"/>
            </w:pPr>
            <w:r>
              <w:rPr>
                <w:rFonts w:hint="eastAsia" w:ascii="楷体" w:hAnsi="楷体" w:eastAsia="楷体" w:cs="楷体"/>
                <w:kern w:val="0"/>
                <w:sz w:val="20"/>
                <w:szCs w:val="20"/>
              </w:rPr>
              <w:t>（六）其他处理</w:t>
            </w:r>
          </w:p>
        </w:tc>
        <w:tc>
          <w:tcPr>
            <w:tcW w:w="81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c>
          <w:tcPr>
            <w:tcW w:w="7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c>
          <w:tcPr>
            <w:tcW w:w="7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81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97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1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68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1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ascii="宋体"/>
                <w:sz w:val="24"/>
              </w:rPr>
            </w:pP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left"/>
            </w:pPr>
            <w:r>
              <w:rPr>
                <w:rFonts w:hint="eastAsia" w:ascii="楷体" w:hAnsi="楷体" w:eastAsia="楷体" w:cs="楷体"/>
                <w:kern w:val="0"/>
                <w:sz w:val="20"/>
                <w:szCs w:val="20"/>
              </w:rPr>
              <w:t>（七）总计</w:t>
            </w:r>
          </w:p>
        </w:tc>
        <w:tc>
          <w:tcPr>
            <w:tcW w:w="81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c>
          <w:tcPr>
            <w:tcW w:w="7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c>
          <w:tcPr>
            <w:tcW w:w="75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81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97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1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68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558" w:type="dxa"/>
            <w:gridSpan w:val="3"/>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left"/>
            </w:pPr>
            <w:r>
              <w:rPr>
                <w:rFonts w:hint="eastAsia" w:ascii="宋体" w:hAnsi="宋体" w:eastAsia="宋体" w:cs="宋体"/>
                <w:kern w:val="0"/>
                <w:sz w:val="20"/>
                <w:szCs w:val="20"/>
              </w:rPr>
              <w:t>四、结转下年度继续办理</w:t>
            </w:r>
          </w:p>
        </w:tc>
        <w:tc>
          <w:tcPr>
            <w:tcW w:w="814"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ascii="Calibri" w:hAnsi="Calibri" w:cs="Calibri"/>
                <w:kern w:val="0"/>
                <w:sz w:val="20"/>
                <w:szCs w:val="20"/>
              </w:rPr>
              <w:t> </w:t>
            </w:r>
            <w:r>
              <w:rPr>
                <w:rFonts w:hint="eastAsia" w:ascii="宋体" w:hAnsi="宋体" w:eastAsia="宋体" w:cs="宋体"/>
                <w:color w:val="000000"/>
                <w:kern w:val="0"/>
                <w:sz w:val="20"/>
                <w:szCs w:val="20"/>
              </w:rPr>
              <w:t>0</w:t>
            </w:r>
          </w:p>
        </w:tc>
        <w:tc>
          <w:tcPr>
            <w:tcW w:w="755"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c>
          <w:tcPr>
            <w:tcW w:w="755"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0</w:t>
            </w:r>
          </w:p>
        </w:tc>
        <w:tc>
          <w:tcPr>
            <w:tcW w:w="814"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974"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712"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689"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rPr>
                <w:rFonts w:ascii="宋体"/>
                <w:sz w:val="24"/>
              </w:rPr>
            </w:pPr>
            <w:r>
              <w:rPr>
                <w:rFonts w:hint="eastAsia" w:ascii="宋体" w:hAnsi="宋体" w:eastAsia="宋体" w:cs="宋体"/>
                <w:color w:val="000000"/>
                <w:kern w:val="0"/>
                <w:sz w:val="20"/>
                <w:szCs w:val="20"/>
              </w:rPr>
              <w:t> 0</w:t>
            </w:r>
          </w:p>
        </w:tc>
      </w:tr>
    </w:tbl>
    <w:p>
      <w:pPr>
        <w:pStyle w:val="4"/>
        <w:widowControl/>
        <w:shd w:val="clear" w:color="auto" w:fill="FFFFFF"/>
        <w:spacing w:beforeAutospacing="0" w:afterAutospacing="0"/>
        <w:ind w:firstLine="420"/>
        <w:jc w:val="both"/>
        <w:rPr>
          <w:rFonts w:ascii="黑体" w:hAnsi="黑体" w:eastAsia="黑体"/>
          <w:kern w:val="2"/>
          <w:sz w:val="32"/>
          <w:szCs w:val="32"/>
        </w:rPr>
      </w:pPr>
      <w:r>
        <w:rPr>
          <w:rFonts w:hint="eastAsia" w:ascii="黑体" w:hAnsi="黑体" w:eastAsia="黑体"/>
          <w:kern w:val="2"/>
          <w:sz w:val="32"/>
          <w:szCs w:val="32"/>
        </w:rPr>
        <w:t>四、政府信息公开行政复议、行政诉讼情况</w:t>
      </w:r>
    </w:p>
    <w:p>
      <w:pPr>
        <w:pStyle w:val="4"/>
        <w:widowControl/>
        <w:shd w:val="clear" w:color="auto" w:fill="FFFFFF"/>
        <w:spacing w:beforeAutospacing="0" w:afterAutospacing="0"/>
        <w:ind w:firstLine="420"/>
        <w:jc w:val="both"/>
        <w:rPr>
          <w:rFonts w:ascii="宋体" w:hAnsi="宋体" w:eastAsia="宋体" w:cs="宋体"/>
          <w:color w:val="333333"/>
        </w:rPr>
      </w:pPr>
    </w:p>
    <w:tbl>
      <w:tblPr>
        <w:tblStyle w:val="7"/>
        <w:tblW w:w="9071"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4"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行政复议</w:t>
            </w:r>
          </w:p>
        </w:tc>
        <w:tc>
          <w:tcPr>
            <w:tcW w:w="5997" w:type="dxa"/>
            <w:gridSpan w:val="10"/>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04"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结果维持</w:t>
            </w:r>
          </w:p>
        </w:tc>
        <w:tc>
          <w:tcPr>
            <w:tcW w:w="604"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结果纠正</w:t>
            </w:r>
          </w:p>
        </w:tc>
        <w:tc>
          <w:tcPr>
            <w:tcW w:w="604"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其他结果</w:t>
            </w:r>
          </w:p>
        </w:tc>
        <w:tc>
          <w:tcPr>
            <w:tcW w:w="604"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尚未审结</w:t>
            </w:r>
          </w:p>
        </w:tc>
        <w:tc>
          <w:tcPr>
            <w:tcW w:w="658" w:type="dxa"/>
            <w:vMerge w:val="restart"/>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总计</w:t>
            </w:r>
          </w:p>
        </w:tc>
        <w:tc>
          <w:tcPr>
            <w:tcW w:w="2970" w:type="dxa"/>
            <w:gridSpan w:val="5"/>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未经复议直接起诉</w:t>
            </w:r>
          </w:p>
        </w:tc>
        <w:tc>
          <w:tcPr>
            <w:tcW w:w="3027" w:type="dxa"/>
            <w:gridSpan w:val="5"/>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0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ascii="宋体"/>
                <w:sz w:val="24"/>
              </w:rPr>
            </w:pPr>
          </w:p>
        </w:tc>
        <w:tc>
          <w:tcPr>
            <w:tcW w:w="60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ascii="宋体"/>
                <w:sz w:val="24"/>
              </w:rPr>
            </w:pPr>
          </w:p>
        </w:tc>
        <w:tc>
          <w:tcPr>
            <w:tcW w:w="60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ascii="宋体"/>
                <w:sz w:val="24"/>
              </w:rPr>
            </w:pPr>
          </w:p>
        </w:tc>
        <w:tc>
          <w:tcPr>
            <w:tcW w:w="604"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ascii="宋体"/>
                <w:sz w:val="24"/>
              </w:rPr>
            </w:pPr>
          </w:p>
        </w:tc>
        <w:tc>
          <w:tcPr>
            <w:tcW w:w="658" w:type="dxa"/>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ascii="宋体"/>
                <w:sz w:val="24"/>
              </w:rPr>
            </w:pPr>
          </w:p>
        </w:tc>
        <w:tc>
          <w:tcPr>
            <w:tcW w:w="55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结果维持</w:t>
            </w:r>
          </w:p>
        </w:tc>
        <w:tc>
          <w:tcPr>
            <w:tcW w:w="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结果纠正</w:t>
            </w:r>
          </w:p>
        </w:tc>
        <w:tc>
          <w:tcPr>
            <w:tcW w:w="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其他结果</w:t>
            </w:r>
          </w:p>
        </w:tc>
        <w:tc>
          <w:tcPr>
            <w:tcW w:w="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尚未审结</w:t>
            </w:r>
          </w:p>
        </w:tc>
        <w:tc>
          <w:tcPr>
            <w:tcW w:w="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总计</w:t>
            </w:r>
          </w:p>
        </w:tc>
        <w:tc>
          <w:tcPr>
            <w:tcW w:w="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结果维持</w:t>
            </w:r>
          </w:p>
        </w:tc>
        <w:tc>
          <w:tcPr>
            <w:tcW w:w="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结果纠正</w:t>
            </w:r>
          </w:p>
        </w:tc>
        <w:tc>
          <w:tcPr>
            <w:tcW w:w="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其他结果</w:t>
            </w:r>
          </w:p>
        </w:tc>
        <w:tc>
          <w:tcPr>
            <w:tcW w:w="60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kern w:val="0"/>
                <w:sz w:val="20"/>
                <w:szCs w:val="20"/>
              </w:rPr>
              <w:t>尚未审结</w:t>
            </w:r>
          </w:p>
        </w:tc>
        <w:tc>
          <w:tcPr>
            <w:tcW w:w="60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0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60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60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60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65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55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60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60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widowControl/>
              <w:spacing w:after="180"/>
              <w:jc w:val="center"/>
            </w:pPr>
            <w:r>
              <w:rPr>
                <w:rFonts w:hint="eastAsia" w:ascii="宋体" w:hAnsi="宋体" w:eastAsia="宋体" w:cs="宋体"/>
                <w:color w:val="000000"/>
                <w:kern w:val="0"/>
                <w:sz w:val="20"/>
                <w:szCs w:val="20"/>
              </w:rPr>
              <w:t> 0</w:t>
            </w:r>
          </w:p>
        </w:tc>
        <w:tc>
          <w:tcPr>
            <w:tcW w:w="60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rPr>
                <w:rFonts w:ascii="宋体"/>
                <w:sz w:val="24"/>
              </w:rPr>
            </w:pPr>
            <w:r>
              <w:rPr>
                <w:rFonts w:hint="eastAsia" w:ascii="宋体" w:hAnsi="宋体" w:eastAsia="宋体" w:cs="宋体"/>
                <w:color w:val="000000"/>
                <w:kern w:val="0"/>
                <w:sz w:val="20"/>
                <w:szCs w:val="20"/>
              </w:rPr>
              <w:t> 0</w:t>
            </w:r>
          </w:p>
        </w:tc>
      </w:tr>
    </w:tbl>
    <w:p>
      <w:pPr>
        <w:widowControl/>
        <w:shd w:val="clear" w:color="auto" w:fill="FFFFFF"/>
        <w:jc w:val="center"/>
        <w:rPr>
          <w:rFonts w:ascii="宋体" w:hAnsi="宋体" w:eastAsia="宋体" w:cs="宋体"/>
          <w:color w:val="333333"/>
          <w:sz w:val="24"/>
        </w:rPr>
      </w:pPr>
    </w:p>
    <w:p>
      <w:pPr>
        <w:pStyle w:val="4"/>
        <w:widowControl/>
        <w:shd w:val="clear" w:color="auto" w:fill="FFFFFF"/>
        <w:spacing w:beforeAutospacing="0" w:afterAutospacing="0" w:line="560" w:lineRule="exact"/>
        <w:ind w:firstLine="640" w:firstLineChars="200"/>
        <w:jc w:val="both"/>
        <w:rPr>
          <w:rFonts w:ascii="黑体" w:hAnsi="黑体" w:eastAsia="黑体" w:cs="黑体"/>
          <w:b/>
          <w:color w:val="333333"/>
          <w:sz w:val="32"/>
          <w:szCs w:val="32"/>
          <w:shd w:val="clear" w:color="auto" w:fill="FFFFFF"/>
        </w:rPr>
      </w:pPr>
      <w:r>
        <w:rPr>
          <w:rFonts w:hint="eastAsia" w:ascii="黑体" w:hAnsi="黑体" w:eastAsia="黑体"/>
          <w:kern w:val="2"/>
          <w:sz w:val="32"/>
          <w:szCs w:val="32"/>
        </w:rPr>
        <w:t>五、存在的主要问题及改进情况</w:t>
      </w:r>
    </w:p>
    <w:p>
      <w:pPr>
        <w:pStyle w:val="4"/>
        <w:widowControl/>
        <w:shd w:val="clear" w:color="auto" w:fill="FFFFFF"/>
        <w:spacing w:beforeAutospacing="0" w:afterAutospacing="0" w:line="560" w:lineRule="exact"/>
        <w:ind w:firstLine="640" w:firstLineChars="200"/>
        <w:jc w:val="both"/>
        <w:rPr>
          <w:rFonts w:ascii="楷体" w:hAnsi="楷体" w:eastAsia="楷体"/>
          <w:kern w:val="2"/>
          <w:sz w:val="32"/>
          <w:szCs w:val="32"/>
        </w:rPr>
      </w:pPr>
      <w:r>
        <w:rPr>
          <w:rFonts w:hint="eastAsia" w:ascii="楷体" w:hAnsi="楷体" w:eastAsia="楷体"/>
          <w:kern w:val="2"/>
          <w:sz w:val="32"/>
          <w:szCs w:val="32"/>
        </w:rPr>
        <w:t>（一）存在的主要问题</w:t>
      </w:r>
    </w:p>
    <w:p>
      <w:pPr>
        <w:pStyle w:val="4"/>
        <w:widowControl/>
        <w:shd w:val="clear" w:color="auto" w:fill="FFFFFF"/>
        <w:spacing w:beforeAutospacing="0" w:afterAutospacing="0" w:line="560" w:lineRule="exact"/>
        <w:ind w:firstLine="640" w:firstLineChars="200"/>
        <w:jc w:val="both"/>
        <w:rPr>
          <w:rFonts w:ascii="宋体" w:hAnsi="宋体" w:eastAsia="宋体" w:cs="宋体"/>
          <w:color w:val="333333"/>
        </w:rPr>
      </w:pPr>
      <w:r>
        <w:rPr>
          <w:rFonts w:hint="eastAsia" w:ascii="仿宋_GB2312" w:hAnsi="仿宋_GB2312" w:eastAsia="仿宋_GB2312" w:cs="仿宋_GB2312"/>
          <w:kern w:val="2"/>
          <w:sz w:val="32"/>
          <w:szCs w:val="32"/>
        </w:rPr>
        <w:t>业务经办人员专业培训</w:t>
      </w:r>
      <w:r>
        <w:rPr>
          <w:rFonts w:hint="eastAsia" w:ascii="仿宋_GB2312" w:hAnsi="仿宋_GB2312" w:eastAsia="仿宋_GB2312" w:cs="仿宋_GB2312"/>
          <w:kern w:val="2"/>
          <w:sz w:val="32"/>
          <w:szCs w:val="32"/>
          <w:lang w:eastAsia="zh-CN"/>
        </w:rPr>
        <w:t>不够</w:t>
      </w:r>
      <w:r>
        <w:rPr>
          <w:rFonts w:hint="eastAsia" w:ascii="仿宋_GB2312" w:hAnsi="仿宋_GB2312" w:eastAsia="仿宋_GB2312" w:cs="仿宋_GB2312"/>
          <w:kern w:val="2"/>
          <w:sz w:val="32"/>
          <w:szCs w:val="32"/>
        </w:rPr>
        <w:t>，对具体公开的相关事宜需要进一步加强学习，网上公开信息条数较少。</w:t>
      </w:r>
    </w:p>
    <w:p>
      <w:pPr>
        <w:pStyle w:val="4"/>
        <w:widowControl/>
        <w:numPr>
          <w:ilvl w:val="0"/>
          <w:numId w:val="2"/>
        </w:numPr>
        <w:shd w:val="clear" w:color="auto" w:fill="FFFFFF"/>
        <w:spacing w:beforeAutospacing="0" w:afterAutospacing="0" w:line="560" w:lineRule="exact"/>
        <w:ind w:firstLine="640" w:firstLineChars="200"/>
        <w:jc w:val="both"/>
        <w:rPr>
          <w:rFonts w:ascii="楷体" w:hAnsi="楷体" w:eastAsia="楷体"/>
          <w:kern w:val="2"/>
          <w:sz w:val="32"/>
          <w:szCs w:val="32"/>
        </w:rPr>
      </w:pPr>
      <w:r>
        <w:rPr>
          <w:rFonts w:hint="eastAsia" w:ascii="楷体" w:hAnsi="楷体" w:eastAsia="楷体"/>
          <w:kern w:val="2"/>
          <w:sz w:val="32"/>
          <w:szCs w:val="32"/>
        </w:rPr>
        <w:t>改进情况</w:t>
      </w:r>
    </w:p>
    <w:p>
      <w:pPr>
        <w:pStyle w:val="4"/>
        <w:widowControl/>
        <w:shd w:val="clear" w:color="auto" w:fill="FFFFFF"/>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一是进一步加强信息收集。街道各科室将进一步做好信息收集并及时发布，加大对政务信息的公开力度，将群众最关心、反应最强烈的</w:t>
      </w:r>
      <w:r>
        <w:rPr>
          <w:rFonts w:hint="eastAsia" w:ascii="仿宋_GB2312" w:hAnsi="仿宋_GB2312" w:eastAsia="仿宋_GB2312" w:cs="仿宋_GB2312"/>
          <w:kern w:val="2"/>
          <w:sz w:val="32"/>
          <w:szCs w:val="32"/>
          <w:lang w:eastAsia="zh-CN"/>
        </w:rPr>
        <w:t>市容、</w:t>
      </w:r>
      <w:r>
        <w:rPr>
          <w:rFonts w:hint="eastAsia" w:ascii="仿宋_GB2312" w:hAnsi="仿宋_GB2312" w:eastAsia="仿宋_GB2312" w:cs="仿宋_GB2312"/>
          <w:kern w:val="2"/>
          <w:sz w:val="32"/>
          <w:szCs w:val="32"/>
        </w:rPr>
        <w:t>计生、民生事项的资金使用等的事项作为政府信息公开的主要内容，切实发挥好信息公开平台的桥梁作用。</w:t>
      </w:r>
    </w:p>
    <w:p>
      <w:pPr>
        <w:pStyle w:val="4"/>
        <w:widowControl/>
        <w:shd w:val="clear" w:color="auto" w:fill="FFFFFF"/>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二是拓展政府信息公开形式。继续加强档案管理，提高政府信息集中查阅服务功能，加强政府信息公开渠道向社区等基层领域的延伸，并继续强化政府网站作为政府信息公开主渠道的功能。</w:t>
      </w:r>
    </w:p>
    <w:p>
      <w:pPr>
        <w:pStyle w:val="4"/>
        <w:widowControl/>
        <w:shd w:val="clear" w:color="auto" w:fill="FFFFFF"/>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三是加强对公开栏的管理和使用。街道5个社区、2个经合社将结合实际，不断创新公开方法、拓宽公开渠道、丰富公开形式。加强对公开栏的更新和管理，并及时公开政府信息。</w:t>
      </w:r>
    </w:p>
    <w:p>
      <w:pPr>
        <w:pStyle w:val="4"/>
        <w:widowControl/>
        <w:shd w:val="clear" w:color="auto" w:fill="FFFFFF"/>
        <w:spacing w:beforeAutospacing="0" w:afterAutospacing="0" w:line="560" w:lineRule="exact"/>
        <w:ind w:firstLine="420"/>
        <w:jc w:val="both"/>
        <w:rPr>
          <w:rFonts w:ascii="黑体" w:hAnsi="黑体" w:eastAsia="黑体"/>
          <w:kern w:val="2"/>
          <w:sz w:val="32"/>
          <w:szCs w:val="32"/>
        </w:rPr>
      </w:pPr>
      <w:r>
        <w:rPr>
          <w:rFonts w:hint="eastAsia" w:ascii="黑体" w:hAnsi="黑体" w:eastAsia="黑体"/>
          <w:kern w:val="2"/>
          <w:sz w:val="32"/>
          <w:szCs w:val="32"/>
        </w:rPr>
        <w:t>六、其他需要报告的事项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暂无其他需要报告的事项。</w:t>
      </w:r>
    </w:p>
    <w:p>
      <w:pPr>
        <w:pStyle w:val="4"/>
        <w:snapToGrid w:val="0"/>
        <w:spacing w:beforeAutospacing="0" w:afterAutospacing="0" w:line="560" w:lineRule="exact"/>
        <w:jc w:val="both"/>
        <w:rPr>
          <w:rFonts w:ascii="宋体" w:hAnsi="宋体" w:eastAsia="宋体" w:cs="宋体"/>
          <w:color w:val="333333"/>
          <w:sz w:val="28"/>
          <w:szCs w:val="28"/>
          <w:shd w:val="clear" w:color="auto" w:fill="FFFFFF"/>
        </w:rPr>
      </w:pPr>
    </w:p>
    <w:p>
      <w:pPr>
        <w:pStyle w:val="4"/>
        <w:snapToGrid w:val="0"/>
        <w:spacing w:beforeAutospacing="0" w:afterAutospacing="0" w:line="560" w:lineRule="exact"/>
        <w:jc w:val="both"/>
        <w:rPr>
          <w:rFonts w:ascii="宋体" w:hAnsi="宋体" w:eastAsia="宋体" w:cs="宋体"/>
          <w:color w:val="333333"/>
          <w:sz w:val="28"/>
          <w:szCs w:val="28"/>
          <w:shd w:val="clear" w:color="auto" w:fill="FFFFFF"/>
        </w:rPr>
      </w:pPr>
    </w:p>
    <w:p>
      <w:pPr>
        <w:spacing w:line="560" w:lineRule="exact"/>
        <w:ind w:firstLine="57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台江区人民政府宁化街道办事处</w:t>
      </w:r>
    </w:p>
    <w:p>
      <w:pPr>
        <w:spacing w:line="560" w:lineRule="exact"/>
        <w:ind w:firstLine="570"/>
        <w:jc w:val="right"/>
        <w:rPr>
          <w:rFonts w:ascii="宋体" w:hAnsi="宋体" w:eastAsia="宋体" w:cs="宋体"/>
          <w:color w:val="333333"/>
          <w:sz w:val="28"/>
          <w:szCs w:val="28"/>
          <w:shd w:val="clear" w:color="auto" w:fill="FFFFFF"/>
        </w:rPr>
      </w:pPr>
      <w:r>
        <w:rPr>
          <w:rFonts w:hint="eastAsia" w:ascii="仿宋_GB2312" w:hAnsi="仿宋_GB2312" w:eastAsia="仿宋_GB2312" w:cs="仿宋_GB2312"/>
          <w:sz w:val="32"/>
          <w:szCs w:val="32"/>
        </w:rPr>
        <w:t>2020年1月12日</w:t>
      </w:r>
    </w:p>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78A1C"/>
    <w:multiLevelType w:val="singleLevel"/>
    <w:tmpl w:val="57E78A1C"/>
    <w:lvl w:ilvl="0" w:tentative="0">
      <w:start w:val="1"/>
      <w:numFmt w:val="chineseCounting"/>
      <w:suff w:val="nothing"/>
      <w:lvlText w:val="（%1）"/>
      <w:lvlJc w:val="left"/>
      <w:rPr>
        <w:rFonts w:hint="eastAsia"/>
      </w:rPr>
    </w:lvl>
  </w:abstractNum>
  <w:abstractNum w:abstractNumId="1">
    <w:nsid w:val="6EC7361B"/>
    <w:multiLevelType w:val="singleLevel"/>
    <w:tmpl w:val="6EC7361B"/>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B4105D4"/>
    <w:rsid w:val="00035C23"/>
    <w:rsid w:val="00740549"/>
    <w:rsid w:val="008F66B6"/>
    <w:rsid w:val="00936C16"/>
    <w:rsid w:val="00B02C29"/>
    <w:rsid w:val="00CF25BB"/>
    <w:rsid w:val="24200B33"/>
    <w:rsid w:val="28847FA9"/>
    <w:rsid w:val="290A6F86"/>
    <w:rsid w:val="32DB0B52"/>
    <w:rsid w:val="40066E40"/>
    <w:rsid w:val="43D415B3"/>
    <w:rsid w:val="471A0193"/>
    <w:rsid w:val="4955491C"/>
    <w:rsid w:val="4A7F147A"/>
    <w:rsid w:val="4B24395B"/>
    <w:rsid w:val="4D2F37A6"/>
    <w:rsid w:val="4DF5217A"/>
    <w:rsid w:val="59CC3EF4"/>
    <w:rsid w:val="5AEA3542"/>
    <w:rsid w:val="5C1F7772"/>
    <w:rsid w:val="5EED69EF"/>
    <w:rsid w:val="6B3703D6"/>
    <w:rsid w:val="6DFB4369"/>
    <w:rsid w:val="6E596764"/>
    <w:rsid w:val="7B4105D4"/>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405</Words>
  <Characters>2314</Characters>
  <Lines>19</Lines>
  <Paragraphs>5</Paragraphs>
  <TotalTime>0</TotalTime>
  <ScaleCrop>false</ScaleCrop>
  <LinksUpToDate>false</LinksUpToDate>
  <CharactersWithSpaces>2714</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2021-01-12T06:48:00Z</dcterms:created>
  <dc:creator>January</dc:creator>
  <cp:lastModifiedBy>Administrator</cp:lastModifiedBy>
  <cp:lastPrinted>2021-01-12T06:59:36Z</cp:lastPrinted>
  <dcterms:modified xsi:type="dcterms:W3CDTF">2021-01-12T06:59:41Z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