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福州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台江区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本级“三公”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福州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台江区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565.22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111.45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因公出国（境）费用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增加103.12万元，增长294.63%，公务接待费增加8.88万元，增长18.7%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。其中：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一、因公出国（境）经费预算额度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138.12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103.12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294.63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预计出国招商考察批次增加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二、公务接待费预算额度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56.36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8.88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18.7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预计各单位用于接待批次增加相应安排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370.74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" w:hAnsi="仿宋" w:eastAsia="仿宋"/>
          <w:kern w:val="0"/>
          <w:sz w:val="32"/>
          <w:szCs w:val="32"/>
        </w:rPr>
        <w:t>%。其中，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元，与上年持平，主要是</w:t>
      </w:r>
      <w:r>
        <w:rPr>
          <w:rFonts w:hint="eastAsia" w:ascii="仿宋" w:hAnsi="仿宋" w:eastAsia="仿宋"/>
          <w:kern w:val="0"/>
          <w:sz w:val="32"/>
          <w:szCs w:val="32"/>
        </w:rPr>
        <w:t>预计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车辆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/>
          <w:kern w:val="0"/>
          <w:sz w:val="32"/>
          <w:szCs w:val="32"/>
        </w:rPr>
        <w:t>费用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不变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；公务用车运行费预算额度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203.74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预计</w:t>
      </w:r>
      <w:r>
        <w:rPr>
          <w:rFonts w:hint="eastAsia" w:ascii="仿宋" w:hAnsi="仿宋" w:eastAsia="仿宋"/>
          <w:kern w:val="0"/>
          <w:sz w:val="32"/>
          <w:szCs w:val="32"/>
        </w:rPr>
        <w:t>车辆维护费用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2RkODBhNDVjZDk4M2IyYmY4NTYzOWE5MzA5MDEifQ=="/>
  </w:docVars>
  <w:rsids>
    <w:rsidRoot w:val="0082107C"/>
    <w:rsid w:val="0017505E"/>
    <w:rsid w:val="002D5132"/>
    <w:rsid w:val="003D40EF"/>
    <w:rsid w:val="0046426A"/>
    <w:rsid w:val="0048789E"/>
    <w:rsid w:val="00552CF4"/>
    <w:rsid w:val="00584491"/>
    <w:rsid w:val="00792BF0"/>
    <w:rsid w:val="0082107C"/>
    <w:rsid w:val="00831CD2"/>
    <w:rsid w:val="008A235D"/>
    <w:rsid w:val="00A037EE"/>
    <w:rsid w:val="00E34DC2"/>
    <w:rsid w:val="00ED0DCB"/>
    <w:rsid w:val="342E6C1E"/>
    <w:rsid w:val="3E7154D3"/>
    <w:rsid w:val="4F0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436</Characters>
  <Lines>2</Lines>
  <Paragraphs>1</Paragraphs>
  <TotalTime>0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Admin</cp:lastModifiedBy>
  <cp:lastPrinted>2024-03-27T03:03:00Z</cp:lastPrinted>
  <dcterms:modified xsi:type="dcterms:W3CDTF">2025-01-14T09:07:01Z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B939C6AB437E44939EA418AC3C0357AB_12</vt:lpwstr>
  </property>
</Properties>
</file>