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sz w:val="36"/>
          <w:szCs w:val="36"/>
        </w:rPr>
      </w:pPr>
      <w:r>
        <w:rPr>
          <w:rFonts w:hint="eastAsia" w:ascii="黑体" w:hAnsi="黑体" w:eastAsia="黑体" w:cs="黑体"/>
          <w:b/>
          <w:bCs/>
          <w:color w:val="000000"/>
          <w:kern w:val="0"/>
          <w:sz w:val="44"/>
          <w:szCs w:val="44"/>
          <w:lang w:val="en-US" w:eastAsia="zh-CN" w:bidi="ar"/>
        </w:rPr>
        <w:t>政府预算相关重要事项说明</w:t>
      </w:r>
    </w:p>
    <w:p>
      <w:pPr>
        <w:keepNext w:val="0"/>
        <w:keepLines w:val="0"/>
        <w:widowControl/>
        <w:suppressLineNumbers w:val="0"/>
        <w:ind w:firstLine="620" w:firstLineChars="200"/>
        <w:jc w:val="left"/>
        <w:rPr>
          <w:rFonts w:ascii="黑体" w:hAnsi="宋体" w:eastAsia="黑体" w:cs="黑体"/>
          <w:color w:val="000000"/>
          <w:kern w:val="0"/>
          <w:sz w:val="31"/>
          <w:szCs w:val="31"/>
          <w:lang w:val="en-US" w:eastAsia="zh-CN" w:bidi="ar"/>
        </w:rPr>
      </w:pPr>
    </w:p>
    <w:p>
      <w:pPr>
        <w:keepNext w:val="0"/>
        <w:keepLines w:val="0"/>
        <w:widowControl/>
        <w:suppressLineNumbers w:val="0"/>
        <w:ind w:firstLine="640" w:firstLineChars="200"/>
        <w:jc w:val="left"/>
        <w:rPr>
          <w:sz w:val="32"/>
          <w:szCs w:val="32"/>
        </w:rPr>
      </w:pPr>
      <w:r>
        <w:rPr>
          <w:rFonts w:ascii="黑体" w:hAnsi="宋体" w:eastAsia="黑体" w:cs="黑体"/>
          <w:color w:val="000000"/>
          <w:kern w:val="0"/>
          <w:sz w:val="32"/>
          <w:szCs w:val="32"/>
          <w:lang w:val="en-US" w:eastAsia="zh-CN" w:bidi="ar"/>
        </w:rPr>
        <w:t xml:space="preserve">一、台江区本级支出预算说明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ascii="仿宋_GB2312" w:hAnsi="宋体" w:eastAsia="仿宋_GB2312" w:cs="仿宋_GB2312"/>
          <w:color w:val="000000" w:themeColor="text1"/>
          <w:kern w:val="0"/>
          <w:sz w:val="31"/>
          <w:szCs w:val="31"/>
          <w:lang w:val="en-US" w:eastAsia="zh-CN" w:bidi="ar"/>
          <w14:textFill>
            <w14:solidFill>
              <w14:schemeClr w14:val="tx1"/>
            </w14:solidFill>
          </w14:textFill>
        </w:rPr>
        <w:t>202</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2</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年度台江区本级一般公共预算支出数为</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180000</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 </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元，较2021年度预算数增加27000万元，同比增长17.6%。具体情况如下：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（一）一般公共服务支出30857万元，较上年预算增加4041万元，增长15.1%。</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1.人大事务878万元，较上年预算数增加10万元，增长1.2%。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2.政协事务773万元，较上年预算数增加71万元，增长10.1%。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3.政府办公厅（室）及相关机构事务12190万元，较上年预算数增加1730万元，增长16.5%。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4.发展与改革事务319万元，较上年预算数增加98万元，增长44.3%。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5.统计信息事务385万元，较上年预算数减少24万元，下降5.9%。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6.财政事务1305万元，较上年预算数增加266万元，增长25.6%。 </w:t>
      </w:r>
    </w:p>
    <w:p>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7.税收事务1500万元，较上年预算数增加500万元，增长50%。</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8.审计事务343万元，较上年预算数增加64万元，增长22.9%。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9.纪检监察事务2480万元，较上年预算数增加355万元，增长16.7%。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10.商贸事务560万元，较上年预算数减少18万元，下降3.1%。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11.港澳台事务133万元，较上年预算数减少10万元， 下降7%。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12.档案事务245万元，较上年预算数增加47万元，增长23.7%。 </w:t>
      </w:r>
    </w:p>
    <w:p>
      <w:pPr>
        <w:keepNext w:val="0"/>
        <w:keepLines w:val="0"/>
        <w:widowControl/>
        <w:suppressLineNumbers w:val="0"/>
        <w:ind w:left="309" w:leftChars="147" w:firstLine="310" w:firstLineChars="1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13.民主党派及工商联事务51万元，较上年预算数增加27</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万元，增长112.5%。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14.群众团体事务614万元，较上年预算数增加71万元，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增长13.1%。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15.党委办公厅（室）及相关机构事务1062万元，较上年预算数增加347万元，增长48.5%。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16.组织事务1408万元，较上年预算数增加262万元，增长22.9%。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17.宣传事务781万元，较上年预算数增加39万元，增长5.3%。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18.统战事务367万元，较上年预算数增加25万元，增长7.3%。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19.其他共产党事务支出1580万元，较上年预算数增加33万元，增长2.1%。 </w:t>
      </w:r>
    </w:p>
    <w:p>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20.市场监督管理事务3883万元，较上年预算数增加211</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万元，增长5.7%。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（二）国防支出495万元，较上年预算数增加76万元，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增长18.1%。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1.国防动员支出495万元，较上年预算数增加76万元， </w:t>
      </w:r>
    </w:p>
    <w:p>
      <w:pPr>
        <w:keepNext w:val="0"/>
        <w:keepLines w:val="0"/>
        <w:widowControl/>
        <w:suppressLineNumbers w:val="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增长18.1%。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（三）公共安全支出5557万元，较上年预算数减少652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万元，下降10.5%。</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1.公安2758万元，较上年预算数减少1618万元，下降37%。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2.司法1536万元，较上年预算数增加49万元，增长3.3%。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3.其他公共安全支出1263万元，较上年预算数增加922万元，增长270.4%。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（四）教育支出59555万元，较上年预算数增加2513万元，增长4.4%。</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1.教育管理事务830万元，较上年预算数减少996万元，下降54.5%。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2.普通教育52100万元，较上年预算数增加2138万元，增长4.3%。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3.职业教育1394万元，较上年预算数增加21万元，增长1.5%。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4.特殊教育719万元，较上年预算数增加63万元，增长9.6%。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5.进修及培训929万元，较上年预算数增加175万元，增长23.2%。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6.教育费附加安排的支出3200万元，较上年预算数增加1100万元，增长52.4%。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7.其他教育支出383万元，较上年预算数增加12万元，增长3.2%。 </w:t>
      </w:r>
    </w:p>
    <w:p>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（五）科学技术支出3600万元，较上年预算数增加540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万元，增长17.6%。 </w:t>
      </w:r>
    </w:p>
    <w:p>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1.科学技术管理事务3146万元，较上年预算数增加589</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万元，增长23%。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2.科学技术普及182万元，较上年预算数减少18万元，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下降9%。 </w:t>
      </w:r>
    </w:p>
    <w:p>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3.其他科学技术支出272万元，较上年预算数减少31</w:t>
      </w:r>
    </w:p>
    <w:p>
      <w:pPr>
        <w:keepNext w:val="0"/>
        <w:keepLines w:val="0"/>
        <w:widowControl/>
        <w:suppressLineNumbers w:val="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万元，下降10.2%。</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（六）文化旅游体育与传媒支出2404万元，较上年预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算数增加48万元，增长2%。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1.文化和旅游1494万元，较上年预算数增加124万元，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增长9.1%。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2.文物207万元，较上年预算数减少82万元，下降28.4%。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3.体育337万元，较上年预算数增加7万元，增长2.1%。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4.广播电视366万元，较上年预算数减少1万元，下降0.3%。 </w:t>
      </w:r>
    </w:p>
    <w:p>
      <w:pPr>
        <w:keepNext w:val="0"/>
        <w:keepLines w:val="0"/>
        <w:widowControl/>
        <w:suppressLineNumbers w:val="0"/>
        <w:ind w:left="309" w:leftChars="147" w:firstLine="310" w:firstLineChars="1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（七）社会保障和就业支出30948万元，较上年预算数增加13559万元，增长78%。</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1.人力资源和社会保障管理事务1601万元，较上年预算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数增加609万元，增长61.4%。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2.民政管理事务5702万元，较上年预算数增加1855万元，增长48.2%。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3.行政事业单位养老支出1200万元，较上年预算数减少400万元，下降25%。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4.就业补助570万元，较上年预算数减少156万元，下 </w:t>
      </w:r>
    </w:p>
    <w:p>
      <w:pPr>
        <w:keepNext w:val="0"/>
        <w:keepLines w:val="0"/>
        <w:widowControl/>
        <w:suppressLineNumbers w:val="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降21.5%。</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5.抚恤1308万元，较上年预算数增加126万元，增长10.7%。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6.退役安置448万元，较上年预算数增加125万元，增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长38.7%。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7.社会福利626万元，较上年预算数增加9万元，增长1.5%。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8.残疾人事业468万元，较上年预算数增加76万元，增长19.4%。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9.红十字事业79万元，较上年预算数增加7万元，增长9.7%。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10.最低生活保障751万元，较上年预算数增加204万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元，增长37.3%。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11.临时救助234万元，与上年持平。  </w:t>
      </w:r>
    </w:p>
    <w:p>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12.特困人员救助供养127万元，较上年预算数减少77</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万元，下降37.7%。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13.其他生活救助239万元，较上年预算数减少4万元，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下降1.6%。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14.财政对基本养老保险基金的补助1072万元，较上年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预算数增加302万元，增长39.2%。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15.财政对其他社会保险基金的补助16000万元，较上年预算数增加10815万元，增长208.6%。 </w:t>
      </w:r>
    </w:p>
    <w:p>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16.退役军人管理事务375万元，较上年预算数增加88万元，增长30.7%。</w:t>
      </w:r>
    </w:p>
    <w:p>
      <w:pPr>
        <w:keepNext w:val="0"/>
        <w:keepLines w:val="0"/>
        <w:widowControl/>
        <w:suppressLineNumbers w:val="0"/>
        <w:ind w:left="617" w:leftChars="294" w:firstLine="0" w:firstLineChars="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17.其他社会保障和就业支出148万元，较上年预算数减</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少20万元，下降11.9%。 </w:t>
      </w:r>
    </w:p>
    <w:p>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（八）卫生健康支出14411万元，较上年预算数增加200</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万元，增长1.4%。</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1.卫生健康管理事务238万元，较上年预算数减少881万元，下降78.7%。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2.基层医疗卫生机构5627万元，较上年预算数增加554万元，增长10.9%。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3.公共卫生3380万元，较上年预算数增加410万元，增长13.8%。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4.计划生育事务1814万元，较上年预算数减少44万元，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下降2.4%。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5.财政对基本医疗保险基金的补助2511万元，与上年持平。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6.医疗救助40万元，较上年预算数减少7万元，下降14.9%。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7.优抚对象医疗103万元，较上年预算数增加95万元，增长1187.5%。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8.老龄卫生健康事务5万元，较上年预算数减少249万元，下降98%。 </w:t>
      </w:r>
    </w:p>
    <w:p>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9.其他卫生健康支出371万元，与上年持平。 </w:t>
      </w:r>
    </w:p>
    <w:p>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10.行政事业单位医疗322万元，较上年预算数增加322万元。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（九）城乡社区支出17088万元，较上年预算数减少323万元，下降1.9%。</w:t>
      </w:r>
    </w:p>
    <w:p>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1.城乡社区管理事务5932万元，较上年预算数增加185万元，增长3.2%。 </w:t>
      </w:r>
    </w:p>
    <w:p>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2.城乡社区公共设施1814万元，较上年预算数增加794</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万元，增长77.8%。 </w:t>
      </w:r>
    </w:p>
    <w:p>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3.城乡社区环境卫生9342万元，较上年预算数减少1297</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万元，下降12.2%。 </w:t>
      </w:r>
    </w:p>
    <w:p>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（十）农林水支出1560万元，较上年预算数增加1560万元。  </w:t>
      </w:r>
    </w:p>
    <w:p>
      <w:pPr>
        <w:keepNext w:val="0"/>
        <w:keepLines w:val="0"/>
        <w:widowControl/>
        <w:numPr>
          <w:ilvl w:val="0"/>
          <w:numId w:val="0"/>
        </w:numPr>
        <w:suppressLineNumbers w:val="0"/>
        <w:ind w:firstLine="620" w:firstLineChars="200"/>
        <w:jc w:val="left"/>
        <w:rPr>
          <w:rFonts w:hint="default"/>
          <w:lang w:val="en-US"/>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1.巩固脱贫攻坚成果衔接乡村振兴1560万元，较上年预算数增加1560万元。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（十一）资源勘探信息等支出626万元，较上年预算数增加7万元，增长1.1%。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1.制造业126万元，较上年预算数增加7万元，上升增长5.9%。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2.支持中小企业发展和管理支出500万元，与上年持平。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（十二）商业服务业等支出39万元，与上年持平。 </w:t>
      </w:r>
    </w:p>
    <w:p>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1.商业流通事务39万元，与上年持平。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（十三）自然资源海洋气象等支出913万元，较上年预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算数增加55万元，增长6.4%。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1.自然资源事务913万元，较上年预算数增加55万元，增长6.4%。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（十四）住房保障支出300万元，与上年持平。  </w:t>
      </w:r>
    </w:p>
    <w:p>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1.住房改革支出300万元，与上年持平。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（十五）灾害防治及应急管理支出899万元，较上年预算增加108万元，增加13.7%。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1.应急管理事务599万元，较上年预算数增加108万元，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增长22%。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2.消防救援事务300万元，与上年持平。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（十六）预备费1800万元，较上年预算数增加270万元， 增长17.6%。 </w:t>
      </w:r>
    </w:p>
    <w:p>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（十七）其他支出4921万元，较上年预算数增加4031万元，增长452.9%。</w:t>
      </w:r>
    </w:p>
    <w:p>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（十八）债务还本支出1049万元，较上年预算数增加1049</w:t>
      </w:r>
    </w:p>
    <w:p>
      <w:pPr>
        <w:keepNext w:val="0"/>
        <w:keepLines w:val="0"/>
        <w:widowControl/>
        <w:suppressLineNumbers w:val="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（十九）债务付息支出2978万元，较上年预算数增加1590万元，增长114.6%。 </w:t>
      </w:r>
    </w:p>
    <w:p>
      <w:pPr>
        <w:keepNext w:val="0"/>
        <w:keepLines w:val="0"/>
        <w:widowControl/>
        <w:suppressLineNumbers w:val="0"/>
        <w:ind w:firstLine="640" w:firstLineChars="200"/>
        <w:jc w:val="left"/>
        <w:rPr>
          <w:rFonts w:ascii="黑体" w:hAnsi="宋体" w:eastAsia="黑体" w:cs="黑体"/>
          <w:color w:val="000000" w:themeColor="text1"/>
          <w:kern w:val="0"/>
          <w:sz w:val="32"/>
          <w:szCs w:val="32"/>
          <w:lang w:val="en-US" w:eastAsia="zh-CN" w:bidi="ar"/>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二、财政转移支付安排情况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2022年度台江区无对下税收返还和转移支付，具体情况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如下： </w:t>
      </w:r>
    </w:p>
    <w:p>
      <w:pPr>
        <w:keepNext w:val="0"/>
        <w:keepLines w:val="0"/>
        <w:widowControl/>
        <w:suppressLineNumbers w:val="0"/>
        <w:ind w:firstLine="643" w:firstLineChars="200"/>
        <w:jc w:val="left"/>
        <w:rPr>
          <w:color w:val="000000" w:themeColor="text1"/>
          <w:sz w:val="32"/>
          <w:szCs w:val="32"/>
          <w14:textFill>
            <w14:solidFill>
              <w14:schemeClr w14:val="tx1"/>
            </w14:solidFill>
          </w14:textFill>
        </w:rPr>
      </w:pPr>
      <w:r>
        <w:rPr>
          <w:rFonts w:ascii="楷体_GB2312" w:hAnsi="宋体" w:eastAsia="楷体_GB2312" w:cs="楷体_GB2312"/>
          <w:b/>
          <w:bCs/>
          <w:color w:val="000000" w:themeColor="text1"/>
          <w:kern w:val="0"/>
          <w:sz w:val="32"/>
          <w:szCs w:val="32"/>
          <w:lang w:val="en-US" w:eastAsia="zh-CN" w:bidi="ar"/>
          <w14:textFill>
            <w14:solidFill>
              <w14:schemeClr w14:val="tx1"/>
            </w14:solidFill>
          </w14:textFill>
        </w:rPr>
        <w:t xml:space="preserve">（一）一般性转移支付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台江区无乡镇，所辖十个街道作为一级预算部门管理，未单独编制政府预算，为此 2022年度台江区无对下一般转移支付。因此预算公开附表中，未有一般公共预算对下一般性转移支付预算数据。 </w:t>
      </w:r>
    </w:p>
    <w:p>
      <w:pPr>
        <w:keepNext w:val="0"/>
        <w:keepLines w:val="0"/>
        <w:widowControl/>
        <w:suppressLineNumbers w:val="0"/>
        <w:ind w:firstLine="643" w:firstLineChars="200"/>
        <w:jc w:val="left"/>
        <w:rPr>
          <w:rFonts w:ascii="楷体_GB2312" w:hAnsi="宋体" w:eastAsia="楷体_GB2312" w:cs="楷体_GB2312"/>
          <w:b/>
          <w:bCs/>
          <w:color w:val="000000" w:themeColor="text1"/>
          <w:kern w:val="0"/>
          <w:sz w:val="32"/>
          <w:szCs w:val="32"/>
          <w:lang w:val="en-US" w:eastAsia="zh-CN" w:bidi="ar"/>
          <w14:textFill>
            <w14:solidFill>
              <w14:schemeClr w14:val="tx1"/>
            </w14:solidFill>
          </w14:textFill>
        </w:rPr>
      </w:pP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 xml:space="preserve">（二）专项转移支付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台江区无乡镇，所辖十个街道作为一级预算部门管理，未单独编制政府预算，为此 2022年度台江区无对下专项转移支付。因此预算公开附表中，未有一般公共预算对下专项性转移支付预算数据。 </w:t>
      </w:r>
    </w:p>
    <w:p>
      <w:pPr>
        <w:keepNext w:val="0"/>
        <w:keepLines w:val="0"/>
        <w:widowControl/>
        <w:suppressLineNumbers w:val="0"/>
        <w:ind w:firstLine="643" w:firstLineChars="200"/>
        <w:jc w:val="left"/>
        <w:rPr>
          <w:color w:val="000000" w:themeColor="text1"/>
          <w:sz w:val="32"/>
          <w:szCs w:val="32"/>
          <w14:textFill>
            <w14:solidFill>
              <w14:schemeClr w14:val="tx1"/>
            </w14:solidFill>
          </w14:textFill>
        </w:rPr>
      </w:pP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 xml:space="preserve">（三）税收返还 </w:t>
      </w:r>
    </w:p>
    <w:p>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2022年度台江区对各街道无税收返还预算，因此预算公 </w:t>
      </w:r>
    </w:p>
    <w:p>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开附表中，未有对下税收返还预算数据。 </w:t>
      </w:r>
    </w:p>
    <w:p>
      <w:pPr>
        <w:keepNext w:val="0"/>
        <w:keepLines w:val="0"/>
        <w:widowControl/>
        <w:suppressLineNumbers w:val="0"/>
        <w:ind w:firstLine="640" w:firstLineChars="200"/>
        <w:jc w:val="left"/>
        <w:rPr>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三、举借政府债务情况 </w:t>
      </w:r>
    </w:p>
    <w:p>
      <w:pPr>
        <w:keepNext w:val="0"/>
        <w:keepLines w:val="0"/>
        <w:widowControl/>
        <w:suppressLineNumbers w:val="0"/>
        <w:ind w:firstLine="643" w:firstLineChars="200"/>
        <w:jc w:val="left"/>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pPr>
      <w:r>
        <w:rPr>
          <w:rFonts w:ascii="楷体_GB2312" w:hAnsi="宋体" w:eastAsia="楷体_GB2312" w:cs="楷体_GB2312"/>
          <w:b/>
          <w:bCs/>
          <w:color w:val="000000" w:themeColor="text1"/>
          <w:kern w:val="0"/>
          <w:sz w:val="32"/>
          <w:szCs w:val="32"/>
          <w:lang w:val="en-US" w:eastAsia="zh-CN" w:bidi="ar"/>
          <w14:textFill>
            <w14:solidFill>
              <w14:schemeClr w14:val="tx1"/>
            </w14:solidFill>
          </w14:textFill>
        </w:rPr>
        <w:t>（一）</w:t>
      </w: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举借政府债务情况</w:t>
      </w:r>
    </w:p>
    <w:p>
      <w:pPr>
        <w:ind w:firstLine="616" w:firstLineChars="200"/>
        <w:rPr>
          <w:rFonts w:hint="eastAsia" w:ascii="仿宋" w:hAnsi="仿宋" w:eastAsia="仿宋" w:cs="仿宋"/>
          <w:color w:val="000000" w:themeColor="text1"/>
          <w:spacing w:val="-6"/>
          <w:kern w:val="0"/>
          <w:sz w:val="32"/>
          <w:szCs w:val="32"/>
          <w:lang w:val="en-US" w:eastAsia="zh-CN" w:bidi="ar-SA"/>
          <w14:textFill>
            <w14:solidFill>
              <w14:schemeClr w14:val="tx1"/>
            </w14:solidFill>
          </w14:textFill>
        </w:rPr>
      </w:pPr>
      <w:r>
        <w:rPr>
          <w:rFonts w:hint="eastAsia" w:ascii="仿宋" w:hAnsi="仿宋" w:eastAsia="仿宋" w:cs="仿宋"/>
          <w:color w:val="000000" w:themeColor="text1"/>
          <w:spacing w:val="-6"/>
          <w:kern w:val="0"/>
          <w:sz w:val="32"/>
          <w:szCs w:val="32"/>
          <w:lang w:val="en-US" w:eastAsia="zh-CN" w:bidi="ar-SA"/>
          <w14:textFill>
            <w14:solidFill>
              <w14:schemeClr w14:val="tx1"/>
            </w14:solidFill>
          </w14:textFill>
        </w:rPr>
        <w:t>2021年全区新增政府债务限额3.52亿元，其中一般债务2.07亿元，其中外债转贷0.01亿元;专项债务1.45亿元。</w:t>
      </w:r>
    </w:p>
    <w:p>
      <w:pPr>
        <w:keepNext w:val="0"/>
        <w:keepLines w:val="0"/>
        <w:widowControl/>
        <w:suppressLineNumbers w:val="0"/>
        <w:ind w:firstLine="643" w:firstLineChars="200"/>
        <w:jc w:val="left"/>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pP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（二）地方政府债务限额余额情况</w:t>
      </w:r>
    </w:p>
    <w:p>
      <w:pPr>
        <w:pStyle w:val="6"/>
        <w:spacing w:line="580" w:lineRule="exact"/>
        <w:ind w:firstLine="616" w:firstLineChars="200"/>
        <w:rPr>
          <w:rFonts w:hint="eastAsia" w:ascii="仿宋" w:hAnsi="仿宋" w:eastAsia="仿宋" w:cs="仿宋"/>
          <w:color w:val="000000" w:themeColor="text1"/>
          <w:spacing w:val="-6"/>
          <w:kern w:val="0"/>
          <w:sz w:val="32"/>
          <w:szCs w:val="32"/>
          <w:lang w:val="en-US" w:eastAsia="zh-CN" w:bidi="ar-SA"/>
          <w14:textFill>
            <w14:solidFill>
              <w14:schemeClr w14:val="tx1"/>
            </w14:solidFill>
          </w14:textFill>
        </w:rPr>
      </w:pPr>
      <w:r>
        <w:rPr>
          <w:rFonts w:hint="eastAsia" w:ascii="仿宋" w:hAnsi="仿宋" w:eastAsia="仿宋" w:cs="仿宋"/>
          <w:color w:val="000000" w:themeColor="text1"/>
          <w:spacing w:val="-6"/>
          <w:kern w:val="0"/>
          <w:sz w:val="32"/>
          <w:szCs w:val="32"/>
          <w:lang w:val="en-US" w:eastAsia="zh-CN" w:bidi="ar-SA"/>
          <w14:textFill>
            <w14:solidFill>
              <w14:schemeClr w14:val="tx1"/>
            </w14:solidFill>
          </w14:textFill>
        </w:rPr>
        <w:t>2021年地方政府债务限额9.24亿元，其中一般债务6.75亿元，专项债务2.5亿元。债务余额预计执行数8.31亿元，其中一般债务5.84亿元，专项债务2.47亿元。</w:t>
      </w:r>
    </w:p>
    <w:p>
      <w:pPr>
        <w:pStyle w:val="6"/>
        <w:spacing w:line="580" w:lineRule="exact"/>
        <w:ind w:firstLine="643" w:firstLineChars="200"/>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pP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（三）地方政府债券发行情况</w:t>
      </w:r>
    </w:p>
    <w:p>
      <w:pPr>
        <w:pStyle w:val="6"/>
        <w:spacing w:line="580" w:lineRule="exact"/>
        <w:ind w:firstLine="616" w:firstLineChars="200"/>
        <w:rPr>
          <w:rFonts w:hint="eastAsia" w:ascii="仿宋" w:hAnsi="仿宋" w:eastAsia="仿宋" w:cs="仿宋"/>
          <w:color w:val="000000" w:themeColor="text1"/>
          <w:spacing w:val="-6"/>
          <w:lang w:val="en-US" w:eastAsia="zh-CN"/>
          <w14:textFill>
            <w14:solidFill>
              <w14:schemeClr w14:val="tx1"/>
            </w14:solidFill>
          </w14:textFill>
        </w:rPr>
      </w:pPr>
      <w:r>
        <w:rPr>
          <w:rFonts w:hint="eastAsia" w:ascii="仿宋" w:hAnsi="仿宋" w:eastAsia="仿宋" w:cs="仿宋"/>
          <w:color w:val="000000" w:themeColor="text1"/>
          <w:spacing w:val="-6"/>
          <w:lang w:val="en-US" w:eastAsia="zh-CN"/>
          <w14:textFill>
            <w14:solidFill>
              <w14:schemeClr w14:val="tx1"/>
            </w14:solidFill>
          </w14:textFill>
        </w:rPr>
        <w:t xml:space="preserve">2021年由省级代为发行地方政府债券3.51亿元，其中：一般债券2.06亿元，专项债券1.45亿元。 </w:t>
      </w:r>
    </w:p>
    <w:p>
      <w:pPr>
        <w:pStyle w:val="6"/>
        <w:spacing w:line="580" w:lineRule="exact"/>
        <w:ind w:firstLine="616" w:firstLineChars="200"/>
        <w:rPr>
          <w:rFonts w:hint="eastAsia" w:ascii="仿宋" w:hAnsi="仿宋" w:eastAsia="仿宋" w:cs="仿宋"/>
          <w:color w:val="000000" w:themeColor="text1"/>
          <w:spacing w:val="-6"/>
          <w:lang w:val="en-US" w:eastAsia="zh-CN"/>
          <w14:textFill>
            <w14:solidFill>
              <w14:schemeClr w14:val="tx1"/>
            </w14:solidFill>
          </w14:textFill>
        </w:rPr>
      </w:pPr>
      <w:r>
        <w:rPr>
          <w:rFonts w:hint="eastAsia" w:ascii="仿宋" w:hAnsi="仿宋" w:eastAsia="仿宋" w:cs="仿宋"/>
          <w:color w:val="000000" w:themeColor="text1"/>
          <w:spacing w:val="-6"/>
          <w:lang w:val="en-US" w:eastAsia="zh-CN"/>
          <w14:textFill>
            <w14:solidFill>
              <w14:schemeClr w14:val="tx1"/>
            </w14:solidFill>
          </w14:textFill>
        </w:rPr>
        <w:t>按债券性质分：由省级代为发行新增债券3.51亿元,由省级代为发行置换债券0.00亿元，由省级代为发行再融资债券0.00亿元。</w:t>
      </w:r>
    </w:p>
    <w:p>
      <w:pPr>
        <w:pStyle w:val="6"/>
        <w:spacing w:line="580" w:lineRule="exact"/>
        <w:ind w:firstLine="643" w:firstLineChars="200"/>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pP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（四）地方政府债券还本付息情况</w:t>
      </w:r>
    </w:p>
    <w:p>
      <w:pPr>
        <w:pStyle w:val="6"/>
        <w:spacing w:line="580" w:lineRule="exact"/>
        <w:ind w:firstLine="616" w:firstLineChars="200"/>
        <w:rPr>
          <w:rFonts w:hint="eastAsia" w:ascii="仿宋" w:hAnsi="仿宋" w:eastAsia="仿宋" w:cs="仿宋"/>
          <w:b w:val="0"/>
          <w:bCs w:val="0"/>
          <w:color w:val="000000" w:themeColor="text1"/>
          <w:spacing w:val="-6"/>
          <w:lang w:val="en-US" w:eastAsia="zh-CN"/>
          <w14:textFill>
            <w14:solidFill>
              <w14:schemeClr w14:val="tx1"/>
            </w14:solidFill>
          </w14:textFill>
        </w:rPr>
      </w:pPr>
      <w:r>
        <w:rPr>
          <w:rFonts w:hint="eastAsia" w:ascii="仿宋" w:hAnsi="仿宋" w:eastAsia="仿宋" w:cs="仿宋"/>
          <w:b w:val="0"/>
          <w:bCs w:val="0"/>
          <w:color w:val="000000" w:themeColor="text1"/>
          <w:spacing w:val="-6"/>
          <w:lang w:val="en-US" w:eastAsia="zh-CN"/>
          <w14:textFill>
            <w14:solidFill>
              <w14:schemeClr w14:val="tx1"/>
            </w14:solidFill>
          </w14:textFill>
        </w:rPr>
        <w:t>2021年全区地方政府债券还本预计执行数0亿元；地方政府债券付息预计执行数0.19亿元,其中一般债券0.15亿元，专项债券0.04亿元。</w:t>
      </w:r>
    </w:p>
    <w:p>
      <w:pPr>
        <w:pStyle w:val="6"/>
        <w:spacing w:line="580" w:lineRule="exact"/>
        <w:ind w:firstLine="616" w:firstLineChars="200"/>
        <w:rPr>
          <w:rFonts w:hint="eastAsia" w:ascii="仿宋" w:hAnsi="仿宋" w:eastAsia="仿宋" w:cs="仿宋"/>
          <w:b w:val="0"/>
          <w:bCs w:val="0"/>
          <w:color w:val="000000" w:themeColor="text1"/>
          <w:spacing w:val="-6"/>
          <w:lang w:val="en-US" w:eastAsia="zh-CN"/>
          <w14:textFill>
            <w14:solidFill>
              <w14:schemeClr w14:val="tx1"/>
            </w14:solidFill>
          </w14:textFill>
        </w:rPr>
      </w:pPr>
      <w:r>
        <w:rPr>
          <w:rFonts w:hint="eastAsia" w:ascii="仿宋" w:hAnsi="仿宋" w:eastAsia="仿宋" w:cs="仿宋"/>
          <w:b w:val="0"/>
          <w:bCs w:val="0"/>
          <w:color w:val="000000" w:themeColor="text1"/>
          <w:spacing w:val="-6"/>
          <w:lang w:val="en-US" w:eastAsia="zh-CN"/>
          <w14:textFill>
            <w14:solidFill>
              <w14:schemeClr w14:val="tx1"/>
            </w14:solidFill>
          </w14:textFill>
        </w:rPr>
        <w:t>2022年全区地方政府债券还本预算数为0.1亿元，其中一般债券0.1亿元，专项债券0亿元。地方政府债券付息预算数0.3亿元，其中</w:t>
      </w:r>
      <w:bookmarkStart w:id="0" w:name="_GoBack"/>
      <w:bookmarkEnd w:id="0"/>
      <w:r>
        <w:rPr>
          <w:rFonts w:hint="eastAsia" w:ascii="仿宋" w:hAnsi="仿宋" w:eastAsia="仿宋" w:cs="仿宋"/>
          <w:b w:val="0"/>
          <w:bCs w:val="0"/>
          <w:color w:val="000000" w:themeColor="text1"/>
          <w:spacing w:val="-6"/>
          <w:lang w:val="en-US" w:eastAsia="zh-CN"/>
          <w14:textFill>
            <w14:solidFill>
              <w14:schemeClr w14:val="tx1"/>
            </w14:solidFill>
          </w14:textFill>
        </w:rPr>
        <w:t xml:space="preserve">一般债券0.21亿元，专项债券0.09亿元。  </w:t>
      </w:r>
    </w:p>
    <w:p>
      <w:pPr>
        <w:pStyle w:val="6"/>
        <w:spacing w:line="580" w:lineRule="exact"/>
        <w:ind w:firstLine="643" w:firstLineChars="200"/>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pP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（五）地方政府债券资金使用安排</w:t>
      </w:r>
    </w:p>
    <w:p>
      <w:pPr>
        <w:keepNext w:val="0"/>
        <w:keepLines w:val="0"/>
        <w:widowControl/>
        <w:suppressLineNumbers w:val="0"/>
        <w:ind w:firstLine="616" w:firstLineChars="200"/>
        <w:jc w:val="left"/>
        <w:rPr>
          <w:rFonts w:hint="eastAsia" w:ascii="仿宋" w:hAnsi="仿宋" w:eastAsia="仿宋" w:cs="仿宋"/>
          <w:color w:val="000000" w:themeColor="text1"/>
          <w:spacing w:val="-6"/>
          <w:kern w:val="0"/>
          <w:sz w:val="32"/>
          <w:szCs w:val="32"/>
          <w:lang w:val="en-US" w:eastAsia="zh-CN" w:bidi="ar-SA"/>
          <w14:textFill>
            <w14:solidFill>
              <w14:schemeClr w14:val="tx1"/>
            </w14:solidFill>
          </w14:textFill>
        </w:rPr>
      </w:pPr>
      <w:r>
        <w:rPr>
          <w:rFonts w:hint="eastAsia" w:ascii="仿宋" w:hAnsi="仿宋" w:eastAsia="仿宋" w:cs="仿宋"/>
          <w:color w:val="000000" w:themeColor="text1"/>
          <w:spacing w:val="-6"/>
          <w:kern w:val="0"/>
          <w:sz w:val="32"/>
          <w:szCs w:val="32"/>
          <w:lang w:val="en-US" w:eastAsia="zh-CN" w:bidi="ar-SA"/>
          <w14:textFill>
            <w14:solidFill>
              <w14:schemeClr w14:val="tx1"/>
            </w14:solidFill>
          </w14:textFill>
        </w:rPr>
        <w:t>2021年新增债务限额3.52亿元，其中一般债务2.07亿元，其中外债转贷0.01亿元;专项债务1.45亿元。一般债务资金安排用于鳌峰学校教学楼及综合楼建设4062万元；福州市交通路小学东侧校区改造310万元；台江社会福利中心4632万元；坊巷小学用地内合春弄9号传统风貌建筑修缮157万元；坊巷小学用地内合春巷2号传统风貌建筑修缮167万元；坊巷小学用地内合春巷4号传统风貌建筑修缮203万元；坊巷小学用地内土地庙巷15号传统风貌建筑迁建292万元；福州第十五中学教学楼抗震加固及改造提升1500万元；台实验小学教学综合楼及附属设施抗震加固及改造提升1220万元；新建坊巷小学教学楼及综合楼项目5000万元；新建南公小学教学楼及综合楼项目2800万元；十四中扩建50万元；台三小操场及附属设施等改造207万元；中国医疗卫生改革促进结果导向型项目103万元。专项债务资金安排用于老旧小区改造项目6500万元，老旧小区综合整治项目7980万元。</w:t>
      </w:r>
    </w:p>
    <w:p>
      <w:pPr>
        <w:keepNext w:val="0"/>
        <w:keepLines w:val="0"/>
        <w:widowControl/>
        <w:suppressLineNumbers w:val="0"/>
        <w:ind w:firstLine="640" w:firstLineChars="200"/>
        <w:jc w:val="left"/>
        <w:rPr>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四、预算绩效开展情况 </w:t>
      </w:r>
    </w:p>
    <w:p>
      <w:pPr>
        <w:ind w:firstLine="616" w:firstLineChars="200"/>
        <w:rPr>
          <w:rFonts w:hint="eastAsia" w:ascii="仿宋" w:hAnsi="仿宋" w:eastAsia="仿宋" w:cs="仿宋"/>
          <w:b w:val="0"/>
          <w:bCs w:val="0"/>
          <w:color w:val="000000" w:themeColor="text1"/>
          <w:spacing w:val="-6"/>
          <w:kern w:val="0"/>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spacing w:val="-6"/>
          <w:kern w:val="0"/>
          <w:sz w:val="32"/>
          <w:szCs w:val="32"/>
          <w:lang w:val="en-US" w:eastAsia="zh-CN" w:bidi="ar-SA"/>
          <w14:textFill>
            <w14:solidFill>
              <w14:schemeClr w14:val="tx1"/>
            </w14:solidFill>
          </w14:textFill>
        </w:rPr>
        <w:t>2021年我区所有一级预算单位均编制了整体支出绩效目标，二级预算单位由一级预算单位负责组织实施开展线下部门整体预算绩效管理工作。本年度我区开展预算目标管理的项目共907条，涉及资金93379.23万元。2021 年我局组织第三方评价机构对台江区 2021 年度4个重点项目开展绩效重点评价工作，累计金额为3780.05万元。</w:t>
      </w:r>
    </w:p>
    <w:p>
      <w:pPr>
        <w:pStyle w:val="2"/>
        <w:ind w:left="0" w:leftChars="0" w:firstLine="616" w:firstLineChars="200"/>
        <w:rPr>
          <w:rFonts w:hint="eastAsia" w:ascii="仿宋" w:hAnsi="仿宋" w:eastAsia="仿宋" w:cs="仿宋"/>
          <w:b w:val="0"/>
          <w:bCs w:val="0"/>
          <w:color w:val="000000" w:themeColor="text1"/>
          <w:spacing w:val="-6"/>
          <w:kern w:val="0"/>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spacing w:val="-6"/>
          <w:kern w:val="0"/>
          <w:sz w:val="32"/>
          <w:szCs w:val="32"/>
          <w:lang w:val="en-US" w:eastAsia="zh-CN" w:bidi="ar-SA"/>
          <w14:textFill>
            <w14:solidFill>
              <w14:schemeClr w14:val="tx1"/>
            </w14:solidFill>
          </w14:textFill>
        </w:rPr>
        <w:t>我局在批复下达年度预算时，同步下达绩效目标，明确部门单位是预算执行主体，负责实现项目绩效目标，对未能如期实现绩效目标或绩效评价结果较差的，在编制下年度预算时适当调减项目资金额度。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NjU4OGRlNDcxMzcxMmRiZDlkMjhlZDdiZDUzZGIifQ=="/>
  </w:docVars>
  <w:rsids>
    <w:rsidRoot w:val="25B84F51"/>
    <w:rsid w:val="21730F1F"/>
    <w:rsid w:val="25B84F51"/>
    <w:rsid w:val="38897920"/>
    <w:rsid w:val="3C4B1408"/>
    <w:rsid w:val="59685CE9"/>
    <w:rsid w:val="5DE11D9D"/>
    <w:rsid w:val="62303A3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eastAsia="宋体" w:cs="Times New Roman"/>
    </w:rPr>
  </w:style>
  <w:style w:type="paragraph" w:styleId="3">
    <w:name w:val="Body Text Indent"/>
    <w:basedOn w:val="1"/>
    <w:qFormat/>
    <w:uiPriority w:val="0"/>
    <w:pPr>
      <w:spacing w:after="120" w:afterLines="0"/>
      <w:ind w:left="420" w:leftChars="200"/>
    </w:pPr>
    <w:rPr>
      <w:rFonts w:ascii="Calibri" w:hAnsi="Calibri" w:eastAsia="宋体" w:cs="Times New Roman"/>
    </w:rPr>
  </w:style>
  <w:style w:type="paragraph" w:customStyle="1" w:styleId="6">
    <w:name w:val="内容"/>
    <w:basedOn w:val="1"/>
    <w:qFormat/>
    <w:uiPriority w:val="99"/>
    <w:pPr>
      <w:snapToGrid w:val="0"/>
      <w:spacing w:line="640" w:lineRule="exact"/>
      <w:ind w:firstLine="640"/>
    </w:pPr>
    <w:rPr>
      <w:rFonts w:hAnsi="楷体"/>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3731</Words>
  <Characters>3882</Characters>
  <Lines>0</Lines>
  <Paragraphs>0</Paragraphs>
  <TotalTime>0</TotalTime>
  <ScaleCrop>false</ScaleCrop>
  <LinksUpToDate>false</LinksUpToDate>
  <CharactersWithSpaces>4826</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2023-03-17T07:47:00Z</dcterms:created>
  <dc:creator>admin</dc:creator>
  <cp:lastModifiedBy>ie</cp:lastModifiedBy>
  <dcterms:modified xsi:type="dcterms:W3CDTF">2025-09-25T03:48:58Z</dcterms:modified>
  <dc:title>政府预算相关重要事项说明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7D2FBE2AE3DF4F5E919D377A894E5727</vt:lpwstr>
  </property>
</Properties>
</file>