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3FBCE">
      <w:pPr>
        <w:widowControl/>
        <w:overflowPunct w:val="0"/>
        <w:autoSpaceDE w:val="0"/>
        <w:autoSpaceDN w:val="0"/>
        <w:jc w:val="center"/>
        <w:rPr>
          <w:sz w:val="32"/>
          <w:szCs w:val="32"/>
        </w:rPr>
      </w:pPr>
    </w:p>
    <w:p w14:paraId="67BCE2AF">
      <w:pPr>
        <w:widowControl/>
        <w:overflowPunct w:val="0"/>
        <w:autoSpaceDE w:val="0"/>
        <w:autoSpaceDN w:val="0"/>
        <w:jc w:val="center"/>
        <w:rPr>
          <w:sz w:val="84"/>
          <w:szCs w:val="84"/>
        </w:rPr>
      </w:pPr>
    </w:p>
    <w:p w14:paraId="06E3A9A2">
      <w:pPr>
        <w:widowControl/>
        <w:overflowPunct w:val="0"/>
        <w:autoSpaceDE w:val="0"/>
        <w:autoSpaceDN w:val="0"/>
        <w:jc w:val="center"/>
        <w:rPr>
          <w:sz w:val="84"/>
          <w:szCs w:val="84"/>
        </w:rPr>
      </w:pPr>
    </w:p>
    <w:p w14:paraId="233CC738">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2024年度</w:t>
      </w:r>
    </w:p>
    <w:p w14:paraId="79C33527">
      <w:pPr>
        <w:widowControl/>
        <w:overflowPunct w:val="0"/>
        <w:autoSpaceDE w:val="0"/>
        <w:autoSpaceDN w:val="0"/>
        <w:jc w:val="center"/>
        <w:rPr>
          <w:rFonts w:hint="eastAsia" w:ascii="方正小标宋简体" w:eastAsia="方正小标宋简体"/>
          <w:sz w:val="84"/>
          <w:szCs w:val="84"/>
        </w:rPr>
      </w:pPr>
      <w:r>
        <w:rPr>
          <w:rFonts w:hint="eastAsia" w:ascii="方正小标宋简体" w:eastAsia="方正小标宋简体"/>
          <w:sz w:val="84"/>
          <w:szCs w:val="84"/>
        </w:rPr>
        <w:t>福州市台江区保密</w:t>
      </w:r>
    </w:p>
    <w:p w14:paraId="75C73547">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技术检查中心</w:t>
      </w:r>
    </w:p>
    <w:p w14:paraId="7EA080EE">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决算</w:t>
      </w:r>
    </w:p>
    <w:p w14:paraId="41E4F091">
      <w:pPr>
        <w:widowControl/>
        <w:spacing w:line="240" w:lineRule="auto"/>
        <w:jc w:val="left"/>
        <w:rPr>
          <w:rFonts w:ascii="方正小标宋简体" w:eastAsia="方正小标宋简体"/>
          <w:sz w:val="84"/>
          <w:szCs w:val="84"/>
        </w:rPr>
      </w:pPr>
      <w:r>
        <w:rPr>
          <w:rFonts w:ascii="方正小标宋简体" w:eastAsia="方正小标宋简体"/>
          <w:sz w:val="84"/>
          <w:szCs w:val="84"/>
        </w:rPr>
        <w:br w:type="page"/>
      </w:r>
    </w:p>
    <w:p w14:paraId="72BEFCB0">
      <w:pPr>
        <w:pStyle w:val="4"/>
        <w:overflowPunct w:val="0"/>
        <w:rPr>
          <w:rFonts w:ascii="方正小标宋简体" w:eastAsia="方正小标宋简体" w:hAnsiTheme="majorEastAsia"/>
          <w:sz w:val="44"/>
          <w:lang w:eastAsia="zh-CN"/>
        </w:rPr>
        <w:sectPr>
          <w:headerReference r:id="rId5" w:type="default"/>
          <w:footerReference r:id="rId7" w:type="default"/>
          <w:headerReference r:id="rId6" w:type="even"/>
          <w:footerReference r:id="rId8" w:type="even"/>
          <w:type w:val="continuous"/>
          <w:pgSz w:w="11906" w:h="16838"/>
          <w:pgMar w:top="1440" w:right="1800" w:bottom="1440" w:left="1800" w:header="851" w:footer="992" w:gutter="0"/>
          <w:pgNumType w:start="1"/>
          <w:cols w:space="425" w:num="1"/>
          <w:docGrid w:type="lines" w:linePitch="312" w:charSpace="0"/>
        </w:sectPr>
      </w:pPr>
    </w:p>
    <w:p w14:paraId="552514E3">
      <w:pPr>
        <w:pStyle w:val="4"/>
        <w:overflowPunct w:val="0"/>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目录</w:t>
      </w:r>
    </w:p>
    <w:p w14:paraId="68AB313C">
      <w:pPr>
        <w:pStyle w:val="4"/>
        <w:overflowPunct w:val="0"/>
        <w:rPr>
          <w:rFonts w:asciiTheme="majorEastAsia" w:hAnsiTheme="majorEastAsia" w:eastAsiaTheme="majorEastAsia"/>
          <w:sz w:val="36"/>
          <w:lang w:eastAsia="zh-CN"/>
        </w:rPr>
      </w:pPr>
    </w:p>
    <w:p w14:paraId="51B9AF25">
      <w:pPr>
        <w:pStyle w:val="9"/>
        <w:tabs>
          <w:tab w:val="right" w:leader="dot" w:pos="8296"/>
        </w:tabs>
        <w:rPr>
          <w:rFonts w:asciiTheme="minorHAnsi" w:hAnsiTheme="minorHAnsi"/>
          <w:sz w:val="22"/>
        </w:rPr>
      </w:pPr>
      <w:r>
        <w:rPr>
          <w:rFonts w:ascii="宋体" w:hAnsi="宋体" w:eastAsia="宋体" w:cs="宋体"/>
          <w:kern w:val="0"/>
          <w:sz w:val="36"/>
          <w:szCs w:val="36"/>
        </w:rPr>
        <w:fldChar w:fldCharType="begin"/>
      </w:r>
      <w:r>
        <w:rPr>
          <w:rFonts w:ascii="宋体" w:hAnsi="宋体" w:eastAsia="宋体" w:cs="宋体"/>
          <w:kern w:val="0"/>
          <w:sz w:val="36"/>
          <w:szCs w:val="36"/>
        </w:rPr>
        <w:instrText xml:space="preserve">TOC \o "1-3" \h \u </w:instrText>
      </w:r>
      <w:r>
        <w:rPr>
          <w:rFonts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3"/>
          <w:rFonts w:hint="eastAsia" w:ascii="黑体" w:hAnsi="黑体" w:eastAsia="黑体"/>
          <w:lang w:eastAsia="zh-CN"/>
        </w:rPr>
        <w:t>第一部分</w:t>
      </w:r>
      <w:r>
        <w:tab/>
      </w:r>
      <w:r>
        <w:fldChar w:fldCharType="begin"/>
      </w:r>
      <w:r>
        <w:instrText xml:space="preserve"> PAGEREF _Toc256000000 \h </w:instrText>
      </w:r>
      <w:r>
        <w:fldChar w:fldCharType="separate"/>
      </w:r>
      <w:r>
        <w:t>1</w:t>
      </w:r>
      <w:r>
        <w:fldChar w:fldCharType="end"/>
      </w:r>
      <w:r>
        <w:fldChar w:fldCharType="end"/>
      </w:r>
    </w:p>
    <w:p w14:paraId="22D0ED62">
      <w:pPr>
        <w:pStyle w:val="9"/>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3"/>
          <w:rFonts w:hint="eastAsia" w:ascii="黑体" w:hAnsi="黑体" w:eastAsia="黑体" w:cs="黑体"/>
          <w:bCs/>
          <w:lang w:eastAsia="zh-CN"/>
        </w:rPr>
        <w:t>单位概况</w:t>
      </w:r>
      <w:r>
        <w:tab/>
      </w:r>
      <w:r>
        <w:fldChar w:fldCharType="begin"/>
      </w:r>
      <w:r>
        <w:instrText xml:space="preserve"> PAGEREF _Toc256000001 \h </w:instrText>
      </w:r>
      <w:r>
        <w:fldChar w:fldCharType="separate"/>
      </w:r>
      <w:r>
        <w:t>1</w:t>
      </w:r>
      <w:r>
        <w:fldChar w:fldCharType="end"/>
      </w:r>
      <w:r>
        <w:fldChar w:fldCharType="end"/>
      </w:r>
    </w:p>
    <w:p w14:paraId="3A084631">
      <w:pPr>
        <w:pStyle w:val="10"/>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3"/>
          <w:rFonts w:hint="eastAsia" w:ascii="黑体" w:hAnsi="黑体" w:eastAsia="黑体"/>
        </w:rPr>
        <w:t>一、</w:t>
      </w:r>
      <w:r>
        <w:rPr>
          <w:rStyle w:val="13"/>
          <w:rFonts w:hint="eastAsia" w:ascii="黑体" w:hAnsi="黑体" w:eastAsia="黑体" w:cs="黑体"/>
          <w:bCs/>
        </w:rPr>
        <w:t>单位</w:t>
      </w:r>
      <w:r>
        <w:rPr>
          <w:rStyle w:val="13"/>
          <w:rFonts w:hint="eastAsia" w:ascii="黑体" w:hAnsi="黑体" w:eastAsia="黑体"/>
        </w:rPr>
        <w:t>主要职责</w:t>
      </w:r>
      <w:r>
        <w:tab/>
      </w:r>
      <w:r>
        <w:fldChar w:fldCharType="begin"/>
      </w:r>
      <w:r>
        <w:instrText xml:space="preserve"> PAGEREF _Toc256000002 \h </w:instrText>
      </w:r>
      <w:r>
        <w:fldChar w:fldCharType="separate"/>
      </w:r>
      <w:r>
        <w:t>2</w:t>
      </w:r>
      <w:r>
        <w:fldChar w:fldCharType="end"/>
      </w:r>
      <w:r>
        <w:fldChar w:fldCharType="end"/>
      </w:r>
    </w:p>
    <w:p w14:paraId="57F1ADAF">
      <w:pPr>
        <w:pStyle w:val="10"/>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3"/>
          <w:rFonts w:hint="eastAsia" w:ascii="黑体" w:hAnsi="黑体" w:eastAsia="黑体"/>
        </w:rPr>
        <w:t>二、单位基本情况</w:t>
      </w:r>
      <w:r>
        <w:tab/>
      </w:r>
      <w:r>
        <w:fldChar w:fldCharType="begin"/>
      </w:r>
      <w:r>
        <w:instrText xml:space="preserve"> PAGEREF _Toc256000003 \h </w:instrText>
      </w:r>
      <w:r>
        <w:fldChar w:fldCharType="separate"/>
      </w:r>
      <w:r>
        <w:t>2</w:t>
      </w:r>
      <w:r>
        <w:fldChar w:fldCharType="end"/>
      </w:r>
      <w:r>
        <w:fldChar w:fldCharType="end"/>
      </w:r>
    </w:p>
    <w:p w14:paraId="21352B05">
      <w:pPr>
        <w:pStyle w:val="10"/>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3"/>
          <w:rFonts w:hint="eastAsia" w:ascii="黑体" w:hAnsi="黑体" w:eastAsia="黑体"/>
        </w:rPr>
        <w:t>三、单位主要工作总结</w:t>
      </w:r>
      <w:r>
        <w:tab/>
      </w:r>
      <w:r>
        <w:fldChar w:fldCharType="begin"/>
      </w:r>
      <w:r>
        <w:instrText xml:space="preserve"> PAGEREF _Toc256000004 \h </w:instrText>
      </w:r>
      <w:r>
        <w:fldChar w:fldCharType="separate"/>
      </w:r>
      <w:r>
        <w:t>2</w:t>
      </w:r>
      <w:r>
        <w:fldChar w:fldCharType="end"/>
      </w:r>
      <w:r>
        <w:fldChar w:fldCharType="end"/>
      </w:r>
    </w:p>
    <w:p w14:paraId="0D754F3D">
      <w:pPr>
        <w:pStyle w:val="9"/>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3"/>
          <w:rFonts w:hint="eastAsia" w:ascii="黑体" w:hAnsi="黑体" w:eastAsia="黑体"/>
          <w:lang w:eastAsia="zh-CN"/>
        </w:rPr>
        <w:t>第二部分</w:t>
      </w:r>
      <w:r>
        <w:tab/>
      </w:r>
      <w:r>
        <w:rPr>
          <w:rFonts w:hint="eastAsia"/>
          <w:lang w:val="en-US" w:eastAsia="zh-CN"/>
        </w:rPr>
        <w:t>3</w:t>
      </w:r>
      <w:r>
        <w:fldChar w:fldCharType="end"/>
      </w:r>
    </w:p>
    <w:p w14:paraId="4DCA989F">
      <w:pPr>
        <w:pStyle w:val="9"/>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3"/>
          <w:rFonts w:hint="eastAsia" w:ascii="黑体" w:hAnsi="黑体" w:eastAsia="黑体" w:cs="黑体"/>
          <w:bCs/>
          <w:lang w:eastAsia="zh-CN"/>
        </w:rPr>
        <w:t>2024</w:t>
      </w:r>
      <w:r>
        <w:rPr>
          <w:rStyle w:val="13"/>
          <w:rFonts w:hint="eastAsia" w:ascii="黑体" w:hAnsi="黑体" w:eastAsia="黑体" w:cs="黑体"/>
          <w:bCs/>
        </w:rPr>
        <w:t>年度单位</w:t>
      </w:r>
      <w:r>
        <w:rPr>
          <w:rStyle w:val="13"/>
          <w:rFonts w:hint="eastAsia" w:ascii="黑体" w:hAnsi="黑体" w:eastAsia="黑体"/>
          <w:lang w:eastAsia="zh-CN"/>
        </w:rPr>
        <w:t>决算表</w:t>
      </w:r>
      <w:r>
        <w:tab/>
      </w:r>
      <w:r>
        <w:rPr>
          <w:rFonts w:hint="eastAsia"/>
          <w:lang w:val="en-US" w:eastAsia="zh-CN"/>
        </w:rPr>
        <w:t>3</w:t>
      </w:r>
      <w:r>
        <w:fldChar w:fldCharType="end"/>
      </w:r>
    </w:p>
    <w:p w14:paraId="497E2D31">
      <w:pPr>
        <w:pStyle w:val="10"/>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3"/>
          <w:rFonts w:hint="eastAsia" w:ascii="黑体" w:hAnsi="仿宋" w:eastAsia="黑体"/>
        </w:rPr>
        <w:t>一、收入支出决算总表</w:t>
      </w:r>
      <w:r>
        <w:tab/>
      </w:r>
      <w:r>
        <w:fldChar w:fldCharType="begin"/>
      </w:r>
      <w:r>
        <w:instrText xml:space="preserve"> PAGEREF _Toc256000007 \h </w:instrText>
      </w:r>
      <w:r>
        <w:fldChar w:fldCharType="separate"/>
      </w:r>
      <w:r>
        <w:t>4</w:t>
      </w:r>
      <w:r>
        <w:fldChar w:fldCharType="end"/>
      </w:r>
      <w:r>
        <w:fldChar w:fldCharType="end"/>
      </w:r>
    </w:p>
    <w:p w14:paraId="30AF57CF">
      <w:pPr>
        <w:pStyle w:val="10"/>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3"/>
          <w:rFonts w:hint="eastAsia" w:ascii="黑体" w:hAnsi="仿宋" w:eastAsia="黑体"/>
        </w:rPr>
        <w:t>二、收入决算表</w:t>
      </w:r>
      <w:r>
        <w:tab/>
      </w:r>
      <w:r>
        <w:fldChar w:fldCharType="begin"/>
      </w:r>
      <w:r>
        <w:instrText xml:space="preserve"> PAGEREF _Toc256000008 \h </w:instrText>
      </w:r>
      <w:r>
        <w:fldChar w:fldCharType="separate"/>
      </w:r>
      <w:r>
        <w:t>6</w:t>
      </w:r>
      <w:r>
        <w:fldChar w:fldCharType="end"/>
      </w:r>
      <w:r>
        <w:fldChar w:fldCharType="end"/>
      </w:r>
    </w:p>
    <w:p w14:paraId="64D13B7D">
      <w:pPr>
        <w:pStyle w:val="10"/>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3"/>
          <w:rFonts w:hint="eastAsia" w:ascii="黑体" w:hAnsi="仿宋" w:eastAsia="黑体"/>
        </w:rPr>
        <w:t>三、支出决算表</w:t>
      </w:r>
      <w:r>
        <w:tab/>
      </w:r>
      <w:r>
        <w:fldChar w:fldCharType="begin"/>
      </w:r>
      <w:r>
        <w:instrText xml:space="preserve"> PAGEREF _Toc256000009 \h </w:instrText>
      </w:r>
      <w:r>
        <w:fldChar w:fldCharType="separate"/>
      </w:r>
      <w:r>
        <w:t>8</w:t>
      </w:r>
      <w:r>
        <w:fldChar w:fldCharType="end"/>
      </w:r>
      <w:r>
        <w:fldChar w:fldCharType="end"/>
      </w:r>
    </w:p>
    <w:p w14:paraId="3AE5406C">
      <w:pPr>
        <w:pStyle w:val="10"/>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3"/>
          <w:rFonts w:hint="eastAsia" w:ascii="黑体" w:hAnsi="仿宋" w:eastAsia="黑体"/>
        </w:rPr>
        <w:t>四、财政拨款收入支出决算总表</w:t>
      </w:r>
      <w:r>
        <w:tab/>
      </w:r>
      <w:r>
        <w:fldChar w:fldCharType="begin"/>
      </w:r>
      <w:r>
        <w:instrText xml:space="preserve"> PAGEREF _Toc256000010 \h </w:instrText>
      </w:r>
      <w:r>
        <w:fldChar w:fldCharType="separate"/>
      </w:r>
      <w:r>
        <w:t>10</w:t>
      </w:r>
      <w:r>
        <w:fldChar w:fldCharType="end"/>
      </w:r>
      <w:r>
        <w:fldChar w:fldCharType="end"/>
      </w:r>
    </w:p>
    <w:p w14:paraId="206445B8">
      <w:pPr>
        <w:pStyle w:val="10"/>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3"/>
          <w:rFonts w:hint="eastAsia" w:ascii="黑体" w:hAnsi="仿宋" w:eastAsia="黑体"/>
        </w:rPr>
        <w:t>五、一般公共预算财政拨款支出决算表</w:t>
      </w:r>
      <w:r>
        <w:tab/>
      </w:r>
      <w:r>
        <w:fldChar w:fldCharType="begin"/>
      </w:r>
      <w:r>
        <w:instrText xml:space="preserve"> PAGEREF _Toc256000011 \h </w:instrText>
      </w:r>
      <w:r>
        <w:fldChar w:fldCharType="separate"/>
      </w:r>
      <w:r>
        <w:t>13</w:t>
      </w:r>
      <w:r>
        <w:fldChar w:fldCharType="end"/>
      </w:r>
      <w:r>
        <w:fldChar w:fldCharType="end"/>
      </w:r>
    </w:p>
    <w:p w14:paraId="0A2A7496">
      <w:pPr>
        <w:pStyle w:val="10"/>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3"/>
          <w:rFonts w:hint="eastAsia" w:ascii="黑体" w:hAnsi="仿宋" w:eastAsia="黑体"/>
        </w:rPr>
        <w:t>六、一般公共预算财政拨款基本支出决算表</w:t>
      </w:r>
      <w:r>
        <w:tab/>
      </w:r>
      <w:r>
        <w:fldChar w:fldCharType="begin"/>
      </w:r>
      <w:r>
        <w:instrText xml:space="preserve"> PAGEREF _Toc256000012 \h </w:instrText>
      </w:r>
      <w:r>
        <w:fldChar w:fldCharType="separate"/>
      </w:r>
      <w:r>
        <w:t>14</w:t>
      </w:r>
      <w:r>
        <w:fldChar w:fldCharType="end"/>
      </w:r>
      <w:r>
        <w:fldChar w:fldCharType="end"/>
      </w:r>
    </w:p>
    <w:p w14:paraId="29EEF1DD">
      <w:pPr>
        <w:pStyle w:val="10"/>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3"/>
          <w:rFonts w:hint="eastAsia" w:ascii="黑体" w:hAnsi="仿宋" w:eastAsia="黑体"/>
        </w:rPr>
        <w:t>七、一般公共预算财政拨款“三公”经费支出决算表</w:t>
      </w:r>
      <w:r>
        <w:tab/>
      </w:r>
      <w:r>
        <w:fldChar w:fldCharType="begin"/>
      </w:r>
      <w:r>
        <w:instrText xml:space="preserve"> PAGEREF _Toc256000013 \h </w:instrText>
      </w:r>
      <w:r>
        <w:fldChar w:fldCharType="separate"/>
      </w:r>
      <w:r>
        <w:t>17</w:t>
      </w:r>
      <w:r>
        <w:fldChar w:fldCharType="end"/>
      </w:r>
      <w:r>
        <w:fldChar w:fldCharType="end"/>
      </w:r>
    </w:p>
    <w:p w14:paraId="37DFE311">
      <w:pPr>
        <w:pStyle w:val="10"/>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3"/>
          <w:rFonts w:hint="eastAsia" w:ascii="黑体" w:hAnsi="仿宋" w:eastAsia="黑体"/>
        </w:rPr>
        <w:t>八、政府性基金预算财政拨款收入支出决算表</w:t>
      </w:r>
      <w:r>
        <w:tab/>
      </w:r>
      <w:r>
        <w:fldChar w:fldCharType="begin"/>
      </w:r>
      <w:r>
        <w:instrText xml:space="preserve"> PAGEREF _Toc256000014 \h </w:instrText>
      </w:r>
      <w:r>
        <w:fldChar w:fldCharType="separate"/>
      </w:r>
      <w:r>
        <w:t>18</w:t>
      </w:r>
      <w:r>
        <w:fldChar w:fldCharType="end"/>
      </w:r>
      <w:r>
        <w:fldChar w:fldCharType="end"/>
      </w:r>
    </w:p>
    <w:p w14:paraId="087CCDA9">
      <w:pPr>
        <w:pStyle w:val="10"/>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3"/>
          <w:rFonts w:hint="eastAsia" w:ascii="黑体" w:hAnsi="仿宋" w:eastAsia="黑体"/>
        </w:rPr>
        <w:t>九、国有资本经营预算财政拨款支出决算表</w:t>
      </w:r>
      <w:r>
        <w:tab/>
      </w:r>
      <w:r>
        <w:fldChar w:fldCharType="begin"/>
      </w:r>
      <w:r>
        <w:instrText xml:space="preserve"> PAGEREF _Toc256000015 \h </w:instrText>
      </w:r>
      <w:r>
        <w:fldChar w:fldCharType="separate"/>
      </w:r>
      <w:r>
        <w:t>19</w:t>
      </w:r>
      <w:r>
        <w:fldChar w:fldCharType="end"/>
      </w:r>
      <w:r>
        <w:fldChar w:fldCharType="end"/>
      </w:r>
    </w:p>
    <w:p w14:paraId="581D8183">
      <w:pPr>
        <w:pStyle w:val="9"/>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3"/>
          <w:rFonts w:hint="eastAsia" w:ascii="黑体" w:hAnsi="黑体" w:eastAsia="黑体"/>
          <w:lang w:eastAsia="zh-CN"/>
        </w:rPr>
        <w:t>第三部分</w:t>
      </w:r>
      <w:r>
        <w:tab/>
      </w:r>
      <w:r>
        <w:fldChar w:fldCharType="begin"/>
      </w:r>
      <w:r>
        <w:instrText xml:space="preserve"> PAGEREF _Toc256000016 \h </w:instrText>
      </w:r>
      <w:r>
        <w:fldChar w:fldCharType="separate"/>
      </w:r>
      <w:r>
        <w:t>20</w:t>
      </w:r>
      <w:r>
        <w:fldChar w:fldCharType="end"/>
      </w:r>
      <w:r>
        <w:fldChar w:fldCharType="end"/>
      </w:r>
    </w:p>
    <w:p w14:paraId="6BC48277">
      <w:pPr>
        <w:pStyle w:val="9"/>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3"/>
          <w:rFonts w:hint="eastAsia" w:ascii="黑体" w:hAnsi="黑体" w:eastAsia="黑体" w:cs="黑体"/>
          <w:bCs/>
        </w:rPr>
        <w:t>2024年度单位</w:t>
      </w:r>
      <w:r>
        <w:rPr>
          <w:rStyle w:val="13"/>
          <w:rFonts w:hint="eastAsia" w:ascii="黑体" w:hAnsi="黑体" w:eastAsia="黑体"/>
        </w:rPr>
        <w:t>决算情况说明</w:t>
      </w:r>
      <w:r>
        <w:tab/>
      </w:r>
      <w:r>
        <w:fldChar w:fldCharType="begin"/>
      </w:r>
      <w:r>
        <w:instrText xml:space="preserve"> PAGEREF _Toc256000017 \h </w:instrText>
      </w:r>
      <w:r>
        <w:fldChar w:fldCharType="separate"/>
      </w:r>
      <w:r>
        <w:t>20</w:t>
      </w:r>
      <w:r>
        <w:fldChar w:fldCharType="end"/>
      </w:r>
      <w:r>
        <w:fldChar w:fldCharType="end"/>
      </w:r>
    </w:p>
    <w:p w14:paraId="4187EEC6">
      <w:pPr>
        <w:pStyle w:val="10"/>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3"/>
          <w:rFonts w:hint="eastAsia" w:ascii="黑体" w:hAnsi="黑体" w:eastAsia="黑体"/>
        </w:rPr>
        <w:t>一、收入支出决算总体情况说明</w:t>
      </w:r>
      <w:r>
        <w:tab/>
      </w:r>
      <w:r>
        <w:fldChar w:fldCharType="begin"/>
      </w:r>
      <w:r>
        <w:instrText xml:space="preserve"> PAGEREF _Toc256000018 \h </w:instrText>
      </w:r>
      <w:r>
        <w:fldChar w:fldCharType="separate"/>
      </w:r>
      <w:r>
        <w:t>21</w:t>
      </w:r>
      <w:r>
        <w:fldChar w:fldCharType="end"/>
      </w:r>
      <w:r>
        <w:fldChar w:fldCharType="end"/>
      </w:r>
    </w:p>
    <w:p w14:paraId="21B2D862">
      <w:pPr>
        <w:pStyle w:val="10"/>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3"/>
          <w:rFonts w:hint="eastAsia" w:ascii="黑体" w:hAnsi="黑体" w:eastAsia="黑体"/>
        </w:rPr>
        <w:t>二、</w:t>
      </w:r>
      <w:r>
        <w:rPr>
          <w:rStyle w:val="13"/>
          <w:rFonts w:hint="eastAsia" w:ascii="黑体" w:eastAsia="黑体" w:cs="黑体"/>
          <w:kern w:val="0"/>
        </w:rPr>
        <w:t>财政拨款收入支出决算总体情况说明</w:t>
      </w:r>
      <w:r>
        <w:tab/>
      </w:r>
      <w:r>
        <w:fldChar w:fldCharType="begin"/>
      </w:r>
      <w:r>
        <w:instrText xml:space="preserve"> PAGEREF _Toc256000019 \h </w:instrText>
      </w:r>
      <w:r>
        <w:fldChar w:fldCharType="separate"/>
      </w:r>
      <w:r>
        <w:t>22</w:t>
      </w:r>
      <w:r>
        <w:fldChar w:fldCharType="end"/>
      </w:r>
      <w:r>
        <w:fldChar w:fldCharType="end"/>
      </w:r>
    </w:p>
    <w:p w14:paraId="55D18E93">
      <w:pPr>
        <w:pStyle w:val="10"/>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3"/>
          <w:rFonts w:hint="eastAsia" w:ascii="黑体" w:hAnsi="黑体" w:eastAsia="黑体"/>
        </w:rPr>
        <w:t>三、一般公共预算拨款支出决算情况说明</w:t>
      </w:r>
      <w:r>
        <w:tab/>
      </w:r>
      <w:r>
        <w:fldChar w:fldCharType="begin"/>
      </w:r>
      <w:r>
        <w:instrText xml:space="preserve"> PAGEREF _Toc256000020 \h </w:instrText>
      </w:r>
      <w:r>
        <w:fldChar w:fldCharType="separate"/>
      </w:r>
      <w:r>
        <w:t>22</w:t>
      </w:r>
      <w:r>
        <w:fldChar w:fldCharType="end"/>
      </w:r>
      <w:r>
        <w:fldChar w:fldCharType="end"/>
      </w:r>
    </w:p>
    <w:p w14:paraId="02967A53">
      <w:pPr>
        <w:pStyle w:val="10"/>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3"/>
          <w:rFonts w:hint="eastAsia" w:ascii="黑体" w:hAnsi="黑体" w:eastAsia="黑体" w:cs="仿宋_GB2312"/>
          <w:bCs/>
        </w:rPr>
        <w:t>四、政府性基金预算财政拨款支出决算情况说明</w:t>
      </w:r>
      <w:r>
        <w:tab/>
      </w:r>
      <w:r>
        <w:fldChar w:fldCharType="begin"/>
      </w:r>
      <w:r>
        <w:instrText xml:space="preserve"> PAGEREF _Toc256000021 \h </w:instrText>
      </w:r>
      <w:r>
        <w:fldChar w:fldCharType="separate"/>
      </w:r>
      <w:r>
        <w:t>23</w:t>
      </w:r>
      <w:r>
        <w:fldChar w:fldCharType="end"/>
      </w:r>
      <w:r>
        <w:fldChar w:fldCharType="end"/>
      </w:r>
    </w:p>
    <w:p w14:paraId="05E9CFEE">
      <w:pPr>
        <w:pStyle w:val="10"/>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3"/>
          <w:rFonts w:hint="eastAsia" w:ascii="黑体" w:hAnsi="黑体" w:eastAsia="黑体" w:cs="仿宋_GB2312"/>
          <w:bCs/>
        </w:rPr>
        <w:t>五、国有资本经营预算财政拨款支出决算情况说明</w:t>
      </w:r>
      <w:r>
        <w:tab/>
      </w:r>
      <w:r>
        <w:fldChar w:fldCharType="begin"/>
      </w:r>
      <w:r>
        <w:instrText xml:space="preserve"> PAGEREF _Toc256000022 \h </w:instrText>
      </w:r>
      <w:r>
        <w:fldChar w:fldCharType="separate"/>
      </w:r>
      <w:r>
        <w:t>24</w:t>
      </w:r>
      <w:r>
        <w:fldChar w:fldCharType="end"/>
      </w:r>
      <w:r>
        <w:fldChar w:fldCharType="end"/>
      </w:r>
    </w:p>
    <w:p w14:paraId="42763CDD">
      <w:pPr>
        <w:pStyle w:val="10"/>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3"/>
          <w:rFonts w:hint="eastAsia" w:ascii="黑体" w:hAnsi="黑体" w:eastAsia="黑体" w:cs="仿宋_GB2312"/>
        </w:rPr>
        <w:t>六、一般公共预算财政拨款基本支出决算情况说明</w:t>
      </w:r>
      <w:r>
        <w:tab/>
      </w:r>
      <w:r>
        <w:fldChar w:fldCharType="begin"/>
      </w:r>
      <w:r>
        <w:instrText xml:space="preserve"> PAGEREF _Toc256000023 \h </w:instrText>
      </w:r>
      <w:r>
        <w:fldChar w:fldCharType="separate"/>
      </w:r>
      <w:r>
        <w:t>24</w:t>
      </w:r>
      <w:r>
        <w:fldChar w:fldCharType="end"/>
      </w:r>
      <w:r>
        <w:fldChar w:fldCharType="end"/>
      </w:r>
    </w:p>
    <w:p w14:paraId="32AF40C1">
      <w:pPr>
        <w:pStyle w:val="10"/>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3"/>
          <w:rFonts w:hint="eastAsia" w:ascii="黑体" w:hAnsi="黑体" w:eastAsia="黑体" w:cs="仿宋_GB2312"/>
          <w:bCs/>
        </w:rPr>
        <w:t>七、</w:t>
      </w:r>
      <w:r>
        <w:rPr>
          <w:rStyle w:val="13"/>
          <w:rFonts w:hint="eastAsia" w:ascii="黑体" w:hAnsi="黑体" w:eastAsia="黑体"/>
        </w:rPr>
        <w:t>一般公共预算拨款</w:t>
      </w:r>
      <w:r>
        <w:rPr>
          <w:rStyle w:val="13"/>
          <w:rFonts w:hint="eastAsia" w:ascii="黑体" w:hAnsi="黑体" w:eastAsia="黑体" w:cs="仿宋_GB2312"/>
          <w:bCs/>
        </w:rPr>
        <w:t>“三公”经费支出决算情况说明</w:t>
      </w:r>
      <w:r>
        <w:tab/>
      </w:r>
      <w:r>
        <w:fldChar w:fldCharType="begin"/>
      </w:r>
      <w:r>
        <w:instrText xml:space="preserve"> PAGEREF _Toc256000024 \h </w:instrText>
      </w:r>
      <w:r>
        <w:fldChar w:fldCharType="separate"/>
      </w:r>
      <w:r>
        <w:t>25</w:t>
      </w:r>
      <w:r>
        <w:fldChar w:fldCharType="end"/>
      </w:r>
      <w:r>
        <w:fldChar w:fldCharType="end"/>
      </w:r>
    </w:p>
    <w:p w14:paraId="77FF9865">
      <w:pPr>
        <w:pStyle w:val="10"/>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3"/>
          <w:rFonts w:hint="eastAsia" w:ascii="黑体" w:hAnsi="黑体" w:eastAsia="黑体"/>
        </w:rPr>
        <w:t>八、预算绩效情况说明</w:t>
      </w:r>
      <w:r>
        <w:tab/>
      </w:r>
      <w:r>
        <w:fldChar w:fldCharType="begin"/>
      </w:r>
      <w:r>
        <w:instrText xml:space="preserve"> PAGEREF _Toc256000025 \h </w:instrText>
      </w:r>
      <w:r>
        <w:fldChar w:fldCharType="separate"/>
      </w:r>
      <w:r>
        <w:t>26</w:t>
      </w:r>
      <w:r>
        <w:fldChar w:fldCharType="end"/>
      </w:r>
      <w:r>
        <w:fldChar w:fldCharType="end"/>
      </w:r>
    </w:p>
    <w:p w14:paraId="4D5C9EC4">
      <w:pPr>
        <w:pStyle w:val="10"/>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13"/>
          <w:rFonts w:hint="eastAsia" w:ascii="黑体" w:hAnsi="黑体" w:eastAsia="黑体"/>
        </w:rPr>
        <w:t>九、其他重要事项说明</w:t>
      </w:r>
      <w:r>
        <w:tab/>
      </w:r>
      <w:r>
        <w:fldChar w:fldCharType="begin"/>
      </w:r>
      <w:r>
        <w:instrText xml:space="preserve"> PAGEREF _Toc256000026 \h </w:instrText>
      </w:r>
      <w:r>
        <w:fldChar w:fldCharType="separate"/>
      </w:r>
      <w:r>
        <w:t>26</w:t>
      </w:r>
      <w:r>
        <w:fldChar w:fldCharType="end"/>
      </w:r>
      <w:r>
        <w:fldChar w:fldCharType="end"/>
      </w:r>
    </w:p>
    <w:p w14:paraId="4C4258C6">
      <w:pPr>
        <w:pStyle w:val="9"/>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13"/>
          <w:rFonts w:hint="eastAsia" w:ascii="黑体" w:hAnsi="黑体" w:eastAsia="黑体"/>
        </w:rPr>
        <w:t>第四部分</w:t>
      </w:r>
      <w:r>
        <w:tab/>
      </w:r>
      <w:r>
        <w:fldChar w:fldCharType="begin"/>
      </w:r>
      <w:r>
        <w:instrText xml:space="preserve"> PAGEREF _Toc256000027 \h </w:instrText>
      </w:r>
      <w:r>
        <w:fldChar w:fldCharType="separate"/>
      </w:r>
      <w:r>
        <w:t>28</w:t>
      </w:r>
      <w:r>
        <w:fldChar w:fldCharType="end"/>
      </w:r>
      <w:r>
        <w:fldChar w:fldCharType="end"/>
      </w:r>
    </w:p>
    <w:p w14:paraId="5AE0021A">
      <w:pPr>
        <w:pStyle w:val="9"/>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13"/>
          <w:rFonts w:hint="eastAsia" w:ascii="黑体" w:hAnsi="黑体" w:eastAsia="黑体"/>
        </w:rPr>
        <w:t>名词解释</w:t>
      </w:r>
      <w:r>
        <w:tab/>
      </w:r>
      <w:r>
        <w:fldChar w:fldCharType="begin"/>
      </w:r>
      <w:r>
        <w:instrText xml:space="preserve"> PAGEREF _Toc256000028 \h </w:instrText>
      </w:r>
      <w:r>
        <w:fldChar w:fldCharType="separate"/>
      </w:r>
      <w:r>
        <w:t>28</w:t>
      </w:r>
      <w:r>
        <w:fldChar w:fldCharType="end"/>
      </w:r>
      <w:r>
        <w:fldChar w:fldCharType="end"/>
      </w:r>
    </w:p>
    <w:p w14:paraId="3875F5BA">
      <w:pPr>
        <w:pStyle w:val="9"/>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13"/>
          <w:rFonts w:hint="eastAsia" w:ascii="黑体" w:hAnsi="黑体" w:eastAsia="黑体"/>
        </w:rPr>
        <w:t>第五部分</w:t>
      </w:r>
      <w:r>
        <w:tab/>
      </w:r>
      <w:r>
        <w:fldChar w:fldCharType="begin"/>
      </w:r>
      <w:r>
        <w:instrText xml:space="preserve"> PAGEREF _Toc256000029 \h </w:instrText>
      </w:r>
      <w:r>
        <w:fldChar w:fldCharType="separate"/>
      </w:r>
      <w:r>
        <w:t>31</w:t>
      </w:r>
      <w:r>
        <w:fldChar w:fldCharType="end"/>
      </w:r>
      <w:r>
        <w:fldChar w:fldCharType="end"/>
      </w:r>
    </w:p>
    <w:p w14:paraId="61F0261B">
      <w:pPr>
        <w:pStyle w:val="10"/>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13"/>
          <w:rFonts w:hint="eastAsia" w:ascii="黑体" w:hAnsi="黑体" w:eastAsia="黑体"/>
        </w:rPr>
        <w:t>附件</w:t>
      </w:r>
      <w:r>
        <w:tab/>
      </w:r>
      <w:r>
        <w:fldChar w:fldCharType="begin"/>
      </w:r>
      <w:r>
        <w:instrText xml:space="preserve"> PAGEREF _Toc256000030 \h </w:instrText>
      </w:r>
      <w:r>
        <w:fldChar w:fldCharType="separate"/>
      </w:r>
      <w:r>
        <w:t>31</w:t>
      </w:r>
      <w:r>
        <w:fldChar w:fldCharType="end"/>
      </w:r>
      <w:r>
        <w:fldChar w:fldCharType="end"/>
      </w:r>
    </w:p>
    <w:p w14:paraId="7557FBBD">
      <w:pPr>
        <w:overflowPunct w:val="0"/>
        <w:autoSpaceDE w:val="0"/>
        <w:autoSpaceDN w:val="0"/>
        <w:jc w:val="left"/>
        <w:rPr>
          <w:rFonts w:ascii="黑体" w:hAnsi="黑体" w:eastAsia="黑体"/>
          <w:sz w:val="36"/>
          <w:szCs w:val="36"/>
        </w:rPr>
        <w:sectPr>
          <w:footerReference r:id="rId9" w:type="default"/>
          <w:type w:val="continuous"/>
          <w:pgSz w:w="11906" w:h="16838"/>
          <w:pgMar w:top="1440" w:right="1800" w:bottom="1440" w:left="1800" w:header="851" w:footer="992" w:gutter="0"/>
          <w:pgNumType w:start="1"/>
          <w:cols w:space="425" w:num="1"/>
          <w:docGrid w:type="lines" w:linePitch="312" w:charSpace="0"/>
        </w:sectPr>
      </w:pPr>
      <w:r>
        <w:rPr>
          <w:rFonts w:ascii="宋体" w:hAnsi="宋体" w:eastAsia="宋体" w:cs="宋体"/>
          <w:kern w:val="0"/>
          <w:szCs w:val="36"/>
        </w:rPr>
        <w:fldChar w:fldCharType="end"/>
      </w:r>
    </w:p>
    <w:p w14:paraId="362AAC2D">
      <w:pPr>
        <w:pStyle w:val="4"/>
        <w:overflowPunct w:val="0"/>
        <w:jc w:val="both"/>
        <w:rPr>
          <w:rFonts w:ascii="黑体" w:hAnsi="黑体" w:eastAsia="黑体"/>
          <w:sz w:val="36"/>
          <w:szCs w:val="36"/>
          <w:lang w:eastAsia="zh-CN"/>
        </w:rPr>
        <w:sectPr>
          <w:footerReference r:id="rId10" w:type="default"/>
          <w:type w:val="continuous"/>
          <w:pgSz w:w="11906" w:h="16838"/>
          <w:pgMar w:top="1440" w:right="1800" w:bottom="1440" w:left="1800" w:header="851" w:footer="992" w:gutter="0"/>
          <w:pgNumType w:start="1"/>
          <w:cols w:space="425" w:num="1"/>
          <w:docGrid w:type="lines" w:linePitch="312" w:charSpace="0"/>
        </w:sectPr>
      </w:pPr>
    </w:p>
    <w:p w14:paraId="30C1088F">
      <w:pPr>
        <w:pStyle w:val="4"/>
        <w:overflowPunct w:val="0"/>
        <w:jc w:val="both"/>
        <w:rPr>
          <w:rFonts w:ascii="黑体" w:hAnsi="黑体" w:eastAsia="黑体"/>
          <w:sz w:val="36"/>
          <w:szCs w:val="36"/>
          <w:lang w:eastAsia="zh-CN"/>
        </w:rPr>
      </w:pPr>
    </w:p>
    <w:p w14:paraId="02750B8F">
      <w:pPr>
        <w:pStyle w:val="4"/>
        <w:overflowPunct w:val="0"/>
        <w:jc w:val="both"/>
        <w:rPr>
          <w:rFonts w:ascii="黑体" w:hAnsi="黑体" w:eastAsia="黑体"/>
          <w:sz w:val="36"/>
          <w:szCs w:val="36"/>
          <w:lang w:eastAsia="zh-CN"/>
        </w:rPr>
      </w:pPr>
    </w:p>
    <w:p w14:paraId="32687FAA">
      <w:pPr>
        <w:pStyle w:val="4"/>
        <w:overflowPunct w:val="0"/>
        <w:jc w:val="center"/>
        <w:rPr>
          <w:rFonts w:ascii="黑体" w:hAnsi="黑体" w:eastAsia="黑体"/>
          <w:sz w:val="36"/>
          <w:szCs w:val="36"/>
          <w:lang w:eastAsia="zh-CN"/>
        </w:rPr>
      </w:pPr>
    </w:p>
    <w:p w14:paraId="5FFB5D85">
      <w:pPr>
        <w:pStyle w:val="4"/>
        <w:overflowPunct w:val="0"/>
        <w:jc w:val="center"/>
        <w:rPr>
          <w:rFonts w:ascii="黑体" w:hAnsi="黑体" w:eastAsia="黑体"/>
          <w:sz w:val="36"/>
          <w:szCs w:val="36"/>
          <w:lang w:eastAsia="zh-CN"/>
        </w:rPr>
      </w:pPr>
    </w:p>
    <w:p w14:paraId="3B5F74F2">
      <w:pPr>
        <w:pStyle w:val="4"/>
        <w:overflowPunct w:val="0"/>
        <w:jc w:val="center"/>
        <w:rPr>
          <w:rFonts w:ascii="黑体" w:hAnsi="黑体" w:eastAsia="黑体"/>
          <w:sz w:val="36"/>
          <w:szCs w:val="36"/>
          <w:lang w:eastAsia="zh-CN"/>
        </w:rPr>
      </w:pPr>
    </w:p>
    <w:p w14:paraId="3092837C">
      <w:pPr>
        <w:pStyle w:val="4"/>
        <w:overflowPunct w:val="0"/>
        <w:jc w:val="both"/>
        <w:rPr>
          <w:rFonts w:ascii="黑体" w:hAnsi="黑体" w:eastAsia="黑体"/>
          <w:sz w:val="36"/>
          <w:szCs w:val="36"/>
          <w:lang w:eastAsia="zh-CN"/>
        </w:rPr>
      </w:pPr>
    </w:p>
    <w:p w14:paraId="79C3292B">
      <w:pPr>
        <w:pStyle w:val="4"/>
        <w:overflowPunct w:val="0"/>
        <w:jc w:val="both"/>
        <w:rPr>
          <w:rFonts w:ascii="黑体" w:hAnsi="黑体" w:eastAsia="黑体"/>
          <w:sz w:val="36"/>
          <w:szCs w:val="36"/>
          <w:lang w:eastAsia="zh-CN"/>
        </w:rPr>
      </w:pPr>
    </w:p>
    <w:p w14:paraId="6915C198">
      <w:pPr>
        <w:pStyle w:val="4"/>
        <w:overflowPunct w:val="0"/>
        <w:jc w:val="both"/>
        <w:rPr>
          <w:rFonts w:ascii="黑体" w:hAnsi="黑体" w:eastAsia="黑体"/>
          <w:sz w:val="36"/>
          <w:szCs w:val="36"/>
          <w:lang w:eastAsia="zh-CN"/>
        </w:rPr>
      </w:pPr>
    </w:p>
    <w:p w14:paraId="6EB85AA9">
      <w:pPr>
        <w:pStyle w:val="4"/>
        <w:overflowPunct w:val="0"/>
        <w:jc w:val="both"/>
        <w:rPr>
          <w:rFonts w:ascii="黑体" w:hAnsi="黑体" w:eastAsia="黑体"/>
          <w:sz w:val="36"/>
          <w:szCs w:val="36"/>
          <w:lang w:eastAsia="zh-CN"/>
        </w:rPr>
      </w:pPr>
    </w:p>
    <w:p w14:paraId="19BCC48B">
      <w:pPr>
        <w:pStyle w:val="4"/>
        <w:overflowPunct w:val="0"/>
        <w:outlineLvl w:val="0"/>
        <w:rPr>
          <w:rFonts w:ascii="黑体" w:hAnsi="黑体" w:eastAsia="黑体"/>
          <w:sz w:val="56"/>
          <w:szCs w:val="36"/>
          <w:lang w:eastAsia="zh-CN"/>
        </w:rPr>
      </w:pPr>
      <w:bookmarkStart w:id="0" w:name="_Toc256000000"/>
      <w:r>
        <w:rPr>
          <w:rFonts w:hint="eastAsia" w:ascii="黑体" w:hAnsi="黑体" w:eastAsia="黑体"/>
          <w:sz w:val="56"/>
          <w:szCs w:val="36"/>
          <w:lang w:eastAsia="zh-CN"/>
        </w:rPr>
        <w:t>第一部分</w:t>
      </w:r>
      <w:bookmarkEnd w:id="0"/>
    </w:p>
    <w:p w14:paraId="7A577928">
      <w:pPr>
        <w:pStyle w:val="4"/>
        <w:overflowPunct w:val="0"/>
        <w:jc w:val="center"/>
        <w:outlineLvl w:val="0"/>
        <w:rPr>
          <w:rFonts w:ascii="黑体" w:hAnsi="黑体" w:eastAsia="黑体"/>
          <w:sz w:val="56"/>
          <w:szCs w:val="36"/>
          <w:lang w:eastAsia="zh-CN"/>
        </w:rPr>
      </w:pPr>
      <w:bookmarkStart w:id="1" w:name="_Toc256000001"/>
      <w:r>
        <w:rPr>
          <w:rFonts w:hint="eastAsia" w:ascii="黑体" w:hAnsi="黑体" w:eastAsia="黑体" w:cs="黑体"/>
          <w:bCs/>
          <w:sz w:val="56"/>
          <w:lang w:eastAsia="zh-CN"/>
        </w:rPr>
        <w:t>单位概况</w:t>
      </w:r>
      <w:bookmarkEnd w:id="1"/>
    </w:p>
    <w:p w14:paraId="2F682639">
      <w:pPr>
        <w:overflowPunct w:val="0"/>
        <w:autoSpaceDE w:val="0"/>
        <w:autoSpaceDN w:val="0"/>
        <w:jc w:val="center"/>
        <w:rPr>
          <w:rFonts w:ascii="黑体" w:hAnsi="黑体" w:eastAsia="黑体"/>
          <w:sz w:val="36"/>
          <w:szCs w:val="36"/>
        </w:rPr>
      </w:pPr>
    </w:p>
    <w:p w14:paraId="5EB39DB9">
      <w:pPr>
        <w:widowControl/>
        <w:overflowPunct w:val="0"/>
        <w:autoSpaceDE w:val="0"/>
        <w:autoSpaceDN w:val="0"/>
        <w:spacing w:line="240" w:lineRule="auto"/>
        <w:jc w:val="left"/>
        <w:rPr>
          <w:rFonts w:ascii="黑体" w:hAnsi="黑体" w:eastAsia="黑体"/>
          <w:sz w:val="32"/>
          <w:szCs w:val="32"/>
        </w:rPr>
      </w:pPr>
      <w:r>
        <w:rPr>
          <w:rFonts w:ascii="黑体" w:hAnsi="黑体" w:eastAsia="黑体"/>
          <w:sz w:val="32"/>
          <w:szCs w:val="32"/>
        </w:rPr>
        <w:br w:type="page"/>
      </w:r>
    </w:p>
    <w:p w14:paraId="54FAF3C3">
      <w:pPr>
        <w:suppressAutoHyphens/>
        <w:wordWrap w:val="0"/>
        <w:topLinePunct/>
        <w:spacing w:line="600" w:lineRule="exact"/>
        <w:ind w:firstLine="640" w:firstLineChars="200"/>
        <w:outlineLvl w:val="1"/>
        <w:rPr>
          <w:rFonts w:ascii="黑体" w:hAnsi="黑体" w:eastAsia="黑体"/>
          <w:sz w:val="32"/>
          <w:szCs w:val="32"/>
        </w:rPr>
      </w:pPr>
      <w:bookmarkStart w:id="2" w:name="_Toc256000002"/>
      <w:r>
        <w:rPr>
          <w:rFonts w:hint="eastAsia" w:ascii="黑体" w:hAnsi="黑体" w:eastAsia="黑体"/>
          <w:sz w:val="32"/>
          <w:szCs w:val="32"/>
        </w:rPr>
        <w:t>一、</w:t>
      </w:r>
      <w:r>
        <w:rPr>
          <w:rFonts w:hint="eastAsia" w:ascii="黑体" w:hAnsi="黑体" w:eastAsia="黑体" w:cs="黑体"/>
          <w:bCs/>
          <w:sz w:val="32"/>
          <w:szCs w:val="32"/>
        </w:rPr>
        <w:t>单位</w:t>
      </w:r>
      <w:r>
        <w:rPr>
          <w:rFonts w:hint="eastAsia" w:ascii="黑体" w:hAnsi="黑体" w:eastAsia="黑体"/>
          <w:sz w:val="32"/>
          <w:szCs w:val="32"/>
        </w:rPr>
        <w:t>主要职责</w:t>
      </w:r>
      <w:bookmarkEnd w:id="2"/>
    </w:p>
    <w:p w14:paraId="46BE866A">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sz w:val="32"/>
          <w:szCs w:val="32"/>
        </w:rPr>
        <w:t>福州市台江区保密技术检查中心</w:t>
      </w:r>
      <w:r>
        <w:rPr>
          <w:rFonts w:ascii="仿宋" w:hAnsi="仿宋" w:eastAsia="仿宋"/>
          <w:sz w:val="32"/>
          <w:u w:color="auto"/>
        </w:rPr>
        <w:t>单位</w:t>
      </w:r>
      <w:r>
        <w:rPr>
          <w:rFonts w:hint="eastAsia" w:ascii="仿宋" w:hAnsi="仿宋" w:eastAsia="仿宋"/>
          <w:sz w:val="32"/>
          <w:szCs w:val="32"/>
        </w:rPr>
        <w:t>的主要职责是：</w:t>
      </w:r>
    </w:p>
    <w:p w14:paraId="6FC80A6B">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（一）</w:t>
      </w:r>
      <w:r>
        <w:rPr>
          <w:rFonts w:ascii="仿宋" w:hAnsi="仿宋" w:eastAsia="仿宋" w:cs="仿宋"/>
          <w:sz w:val="32"/>
          <w:u w:color="auto"/>
        </w:rPr>
        <w:t>全区互联网及涉密与非涉密的通信（有线、无线）、办公自动化设备、计算机系统的保密技术检查工作。</w:t>
      </w:r>
    </w:p>
    <w:p w14:paraId="74A9A181">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（二）</w:t>
      </w:r>
      <w:r>
        <w:rPr>
          <w:rFonts w:ascii="仿宋" w:hAnsi="仿宋" w:eastAsia="仿宋" w:cs="仿宋"/>
          <w:sz w:val="32"/>
          <w:u w:color="auto"/>
        </w:rPr>
        <w:t>党政机关</w:t>
      </w:r>
      <w:r>
        <w:rPr>
          <w:rFonts w:ascii="仿宋" w:hAnsi="仿宋" w:eastAsia="仿宋" w:cs="仿宋"/>
          <w:sz w:val="32"/>
          <w:u w:color="auto"/>
          <w:shd w:val="clear" w:fill="FFFFFF"/>
        </w:rPr>
        <w:t>、</w:t>
      </w:r>
      <w:r>
        <w:rPr>
          <w:rFonts w:ascii="仿宋" w:hAnsi="仿宋" w:eastAsia="仿宋" w:cs="仿宋"/>
          <w:sz w:val="32"/>
          <w:u w:color="auto"/>
        </w:rPr>
        <w:t>企</w:t>
      </w:r>
      <w:r>
        <w:rPr>
          <w:rFonts w:ascii="仿宋" w:hAnsi="仿宋" w:eastAsia="仿宋" w:cs="仿宋"/>
          <w:sz w:val="32"/>
          <w:u w:color="auto"/>
          <w:shd w:val="clear" w:fill="FFAFAA"/>
        </w:rPr>
        <w:t>事</w:t>
      </w:r>
      <w:r>
        <w:rPr>
          <w:rFonts w:ascii="仿宋" w:hAnsi="仿宋" w:eastAsia="仿宋" w:cs="仿宋"/>
          <w:sz w:val="32"/>
          <w:u w:color="auto"/>
        </w:rPr>
        <w:t>业单位涉密办公场所、保密要害部门部位、重大涉密活动、重要涉密会议场所的保密技术检查工作。</w:t>
      </w:r>
    </w:p>
    <w:p w14:paraId="6321D047">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（三）</w:t>
      </w:r>
      <w:r>
        <w:rPr>
          <w:rFonts w:ascii="仿宋" w:hAnsi="仿宋" w:eastAsia="仿宋" w:cs="仿宋"/>
          <w:sz w:val="32"/>
          <w:u w:color="auto"/>
        </w:rPr>
        <w:t>负责全区通信、办公自动化设备、计算</w:t>
      </w:r>
      <w:bookmarkStart w:id="32" w:name="_GoBack"/>
      <w:bookmarkEnd w:id="32"/>
      <w:r>
        <w:rPr>
          <w:rFonts w:ascii="仿宋" w:hAnsi="仿宋" w:eastAsia="仿宋" w:cs="仿宋"/>
          <w:sz w:val="32"/>
          <w:u w:color="auto"/>
        </w:rPr>
        <w:t>机信息系统泄密案件的调查处理过程中的技术侦查、技术取证工作。</w:t>
      </w:r>
    </w:p>
    <w:p w14:paraId="65B84863">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szCs w:val="32"/>
        </w:rPr>
        <w:t>（四）</w:t>
      </w:r>
      <w:r>
        <w:rPr>
          <w:rFonts w:ascii="仿宋" w:hAnsi="仿宋" w:eastAsia="仿宋" w:cs="仿宋"/>
          <w:sz w:val="32"/>
          <w:u w:color="auto"/>
        </w:rPr>
        <w:t>完成领导交办的其他工作。</w:t>
      </w:r>
    </w:p>
    <w:p w14:paraId="06117821">
      <w:pPr>
        <w:suppressAutoHyphens/>
        <w:kinsoku w:val="0"/>
        <w:overflowPunct w:val="0"/>
        <w:autoSpaceDE w:val="0"/>
        <w:autoSpaceDN w:val="0"/>
        <w:spacing w:line="600" w:lineRule="exact"/>
        <w:ind w:firstLine="640" w:firstLineChars="200"/>
        <w:jc w:val="both"/>
        <w:outlineLvl w:val="1"/>
        <w:rPr>
          <w:rFonts w:ascii="黑体" w:hAnsi="黑体" w:eastAsia="黑体"/>
          <w:sz w:val="32"/>
          <w:szCs w:val="32"/>
        </w:rPr>
      </w:pPr>
      <w:bookmarkStart w:id="3" w:name="_Toc9762"/>
      <w:bookmarkStart w:id="4" w:name="_Toc256000003"/>
      <w:r>
        <w:rPr>
          <w:rFonts w:hint="eastAsia" w:ascii="黑体" w:hAnsi="黑体" w:eastAsia="黑体"/>
          <w:sz w:val="32"/>
          <w:szCs w:val="32"/>
        </w:rPr>
        <w:t>二、</w:t>
      </w:r>
      <w:bookmarkEnd w:id="3"/>
      <w:r>
        <w:rPr>
          <w:rFonts w:hint="eastAsia" w:ascii="黑体" w:hAnsi="黑体" w:eastAsia="黑体"/>
          <w:sz w:val="32"/>
          <w:szCs w:val="32"/>
        </w:rPr>
        <w:t>单位基本情况</w:t>
      </w:r>
      <w:bookmarkEnd w:id="4"/>
    </w:p>
    <w:p w14:paraId="082CFEAF">
      <w:pPr>
        <w:tabs>
          <w:tab w:val="left" w:pos="7513"/>
        </w:tabs>
        <w:suppressAutoHyphens/>
        <w:kinsoku w:val="0"/>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ascii="仿宋" w:hAnsi="仿宋" w:eastAsia="仿宋" w:cs="仿宋"/>
          <w:sz w:val="32"/>
        </w:rPr>
        <w:t>从</w:t>
      </w:r>
      <w:r>
        <w:rPr>
          <w:rFonts w:hint="eastAsia" w:ascii="仿宋" w:hAnsi="仿宋" w:eastAsia="仿宋" w:cs="仿宋"/>
          <w:sz w:val="32"/>
        </w:rPr>
        <w:t>决算</w:t>
      </w:r>
      <w:r>
        <w:rPr>
          <w:rFonts w:ascii="仿宋" w:hAnsi="仿宋" w:eastAsia="仿宋" w:cs="仿宋"/>
          <w:sz w:val="32"/>
        </w:rPr>
        <w:t>单位构成看，</w:t>
      </w:r>
      <w:r>
        <w:rPr>
          <w:rFonts w:hint="eastAsia" w:ascii="仿宋" w:hAnsi="仿宋" w:eastAsia="仿宋"/>
          <w:sz w:val="32"/>
          <w:szCs w:val="32"/>
        </w:rPr>
        <w:t>本单位包括1个内设机构，</w:t>
      </w:r>
      <w:r>
        <w:rPr>
          <w:rFonts w:ascii="仿宋" w:hAnsi="仿宋" w:eastAsia="仿宋" w:cs="仿宋"/>
          <w:sz w:val="32"/>
        </w:rPr>
        <w:t>其中：列入</w:t>
      </w:r>
      <w:r>
        <w:rPr>
          <w:rFonts w:hint="eastAsia" w:ascii="仿宋" w:hAnsi="仿宋" w:eastAsia="仿宋" w:cs="仿宋"/>
          <w:sz w:val="32"/>
        </w:rPr>
        <w:t>2024</w:t>
      </w:r>
      <w:r>
        <w:rPr>
          <w:rFonts w:ascii="仿宋" w:hAnsi="仿宋" w:eastAsia="仿宋" w:cs="仿宋"/>
          <w:sz w:val="32"/>
        </w:rPr>
        <w:t>年</w:t>
      </w:r>
      <w:r>
        <w:rPr>
          <w:rFonts w:hint="eastAsia" w:ascii="仿宋" w:hAnsi="仿宋" w:eastAsia="仿宋"/>
          <w:sz w:val="32"/>
          <w:szCs w:val="32"/>
        </w:rPr>
        <w:t>决</w:t>
      </w:r>
      <w:r>
        <w:rPr>
          <w:rFonts w:ascii="仿宋" w:hAnsi="仿宋" w:eastAsia="仿宋" w:cs="仿宋"/>
          <w:sz w:val="32"/>
        </w:rPr>
        <w:t>算编制范围的单位详细情况见下表:</w:t>
      </w:r>
    </w:p>
    <w:tbl>
      <w:tblPr>
        <w:tblStyle w:val="11"/>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2"/>
        <w:gridCol w:w="1658"/>
        <w:gridCol w:w="1509"/>
      </w:tblGrid>
      <w:tr w14:paraId="4209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2" w:type="dxa"/>
            <w:shd w:val="clear" w:color="auto" w:fill="auto"/>
            <w:vAlign w:val="center"/>
          </w:tcPr>
          <w:p w14:paraId="388A37E2">
            <w:pPr>
              <w:tabs>
                <w:tab w:val="left" w:pos="7513"/>
              </w:tabs>
              <w:suppressAutoHyphens/>
              <w:kinsoku w:val="0"/>
              <w:overflowPunct w:val="0"/>
              <w:autoSpaceDE w:val="0"/>
              <w:autoSpaceDN w:val="0"/>
              <w:adjustRightInd w:val="0"/>
              <w:snapToGrid w:val="0"/>
              <w:spacing w:line="600" w:lineRule="exact"/>
              <w:jc w:val="both"/>
              <w:rPr>
                <w:rFonts w:ascii="仿宋" w:hAnsi="仿宋" w:eastAsia="仿宋"/>
                <w:sz w:val="32"/>
                <w:szCs w:val="32"/>
              </w:rPr>
            </w:pPr>
            <w:r>
              <w:rPr>
                <w:rFonts w:hint="eastAsia" w:ascii="仿宋" w:hAnsi="仿宋" w:eastAsia="仿宋"/>
                <w:sz w:val="32"/>
                <w:szCs w:val="32"/>
              </w:rPr>
              <w:t>单位名称</w:t>
            </w:r>
          </w:p>
        </w:tc>
        <w:tc>
          <w:tcPr>
            <w:tcW w:w="1658" w:type="dxa"/>
            <w:shd w:val="clear" w:color="auto" w:fill="auto"/>
            <w:vAlign w:val="center"/>
          </w:tcPr>
          <w:p w14:paraId="5126E138">
            <w:pPr>
              <w:tabs>
                <w:tab w:val="left" w:pos="7513"/>
              </w:tabs>
              <w:suppressAutoHyphens/>
              <w:kinsoku w:val="0"/>
              <w:overflowPunct w:val="0"/>
              <w:autoSpaceDE w:val="0"/>
              <w:autoSpaceDN w:val="0"/>
              <w:adjustRightInd w:val="0"/>
              <w:snapToGrid w:val="0"/>
              <w:spacing w:line="600" w:lineRule="exact"/>
              <w:jc w:val="both"/>
              <w:rPr>
                <w:rFonts w:ascii="仿宋" w:hAnsi="仿宋" w:eastAsia="仿宋"/>
                <w:sz w:val="32"/>
                <w:szCs w:val="32"/>
              </w:rPr>
            </w:pPr>
            <w:r>
              <w:rPr>
                <w:rFonts w:hint="eastAsia" w:ascii="仿宋" w:hAnsi="仿宋" w:eastAsia="仿宋"/>
                <w:sz w:val="32"/>
                <w:szCs w:val="32"/>
              </w:rPr>
              <w:t>单位性质</w:t>
            </w:r>
          </w:p>
        </w:tc>
        <w:tc>
          <w:tcPr>
            <w:tcW w:w="1509" w:type="dxa"/>
            <w:shd w:val="clear" w:color="auto" w:fill="auto"/>
            <w:vAlign w:val="center"/>
          </w:tcPr>
          <w:p w14:paraId="538AB155">
            <w:pPr>
              <w:tabs>
                <w:tab w:val="left" w:pos="7513"/>
              </w:tabs>
              <w:suppressAutoHyphens/>
              <w:kinsoku w:val="0"/>
              <w:overflowPunct w:val="0"/>
              <w:autoSpaceDE w:val="0"/>
              <w:autoSpaceDN w:val="0"/>
              <w:adjustRightInd w:val="0"/>
              <w:snapToGrid w:val="0"/>
              <w:spacing w:line="600" w:lineRule="exact"/>
              <w:jc w:val="both"/>
              <w:rPr>
                <w:rFonts w:ascii="仿宋" w:hAnsi="仿宋" w:eastAsia="仿宋"/>
                <w:sz w:val="32"/>
                <w:szCs w:val="32"/>
              </w:rPr>
            </w:pPr>
            <w:r>
              <w:rPr>
                <w:rFonts w:hint="eastAsia" w:ascii="仿宋" w:hAnsi="仿宋" w:eastAsia="仿宋"/>
                <w:sz w:val="32"/>
                <w:szCs w:val="32"/>
              </w:rPr>
              <w:t>在职人数</w:t>
            </w:r>
          </w:p>
        </w:tc>
      </w:tr>
      <w:tr w14:paraId="766A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2" w:type="dxa"/>
            <w:shd w:val="clear" w:color="auto" w:fill="auto"/>
            <w:vAlign w:val="center"/>
          </w:tcPr>
          <w:p w14:paraId="5D9BC2C5">
            <w:pPr>
              <w:suppressAutoHyphens/>
              <w:kinsoku w:val="0"/>
              <w:overflowPunct w:val="0"/>
              <w:autoSpaceDE w:val="0"/>
              <w:autoSpaceDN w:val="0"/>
              <w:spacing w:line="600" w:lineRule="exact"/>
              <w:jc w:val="both"/>
              <w:rPr>
                <w:rFonts w:ascii="仿宋" w:hAnsi="仿宋" w:eastAsia="仿宋"/>
                <w:position w:val="-1"/>
                <w:sz w:val="32"/>
              </w:rPr>
            </w:pPr>
            <w:r>
              <w:rPr>
                <w:rFonts w:hint="eastAsia" w:ascii="仿宋" w:hAnsi="仿宋" w:eastAsia="仿宋"/>
                <w:position w:val="-1"/>
                <w:sz w:val="32"/>
              </w:rPr>
              <w:t>福州市台江区保密技术检查中心</w:t>
            </w:r>
          </w:p>
        </w:tc>
        <w:tc>
          <w:tcPr>
            <w:tcW w:w="1658" w:type="dxa"/>
            <w:shd w:val="clear" w:color="auto" w:fill="auto"/>
            <w:vAlign w:val="center"/>
          </w:tcPr>
          <w:p w14:paraId="77DA6CBF">
            <w:pPr>
              <w:suppressAutoHyphens/>
              <w:kinsoku w:val="0"/>
              <w:overflowPunct w:val="0"/>
              <w:autoSpaceDE w:val="0"/>
              <w:autoSpaceDN w:val="0"/>
              <w:spacing w:line="600" w:lineRule="exact"/>
              <w:jc w:val="both"/>
              <w:rPr>
                <w:rFonts w:ascii="仿宋" w:hAnsi="仿宋" w:eastAsia="仿宋"/>
                <w:position w:val="-1"/>
                <w:sz w:val="32"/>
              </w:rPr>
            </w:pPr>
            <w:r>
              <w:rPr>
                <w:rFonts w:hint="eastAsia" w:ascii="仿宋" w:hAnsi="仿宋" w:eastAsia="仿宋"/>
                <w:position w:val="-1"/>
                <w:sz w:val="32"/>
              </w:rPr>
              <w:t>事业单位</w:t>
            </w:r>
          </w:p>
        </w:tc>
        <w:tc>
          <w:tcPr>
            <w:tcW w:w="1509" w:type="dxa"/>
            <w:shd w:val="clear" w:color="auto" w:fill="auto"/>
            <w:vAlign w:val="center"/>
          </w:tcPr>
          <w:p w14:paraId="2F77125D">
            <w:pPr>
              <w:suppressAutoHyphens/>
              <w:kinsoku w:val="0"/>
              <w:overflowPunct w:val="0"/>
              <w:autoSpaceDE w:val="0"/>
              <w:autoSpaceDN w:val="0"/>
              <w:spacing w:line="600" w:lineRule="exact"/>
              <w:jc w:val="both"/>
              <w:rPr>
                <w:rFonts w:ascii="仿宋" w:hAnsi="仿宋" w:eastAsia="仿宋"/>
                <w:position w:val="-1"/>
                <w:sz w:val="32"/>
              </w:rPr>
            </w:pPr>
            <w:r>
              <w:rPr>
                <w:rFonts w:hint="eastAsia" w:ascii="仿宋" w:hAnsi="仿宋" w:eastAsia="仿宋"/>
                <w:position w:val="-1"/>
                <w:sz w:val="32"/>
              </w:rPr>
              <w:t>8</w:t>
            </w:r>
          </w:p>
        </w:tc>
      </w:tr>
    </w:tbl>
    <w:p w14:paraId="00F46233">
      <w:pPr>
        <w:suppressAutoHyphens/>
        <w:wordWrap w:val="0"/>
        <w:topLinePunct/>
        <w:spacing w:line="600" w:lineRule="exact"/>
        <w:ind w:firstLine="640" w:firstLineChars="200"/>
        <w:jc w:val="both"/>
        <w:outlineLvl w:val="1"/>
        <w:rPr>
          <w:rFonts w:ascii="黑体" w:hAnsi="黑体" w:eastAsia="黑体"/>
          <w:sz w:val="32"/>
          <w:szCs w:val="32"/>
        </w:rPr>
      </w:pPr>
      <w:bookmarkStart w:id="5" w:name="_Toc256000004"/>
      <w:r>
        <w:rPr>
          <w:rFonts w:hint="eastAsia" w:ascii="黑体" w:hAnsi="黑体" w:eastAsia="黑体"/>
          <w:sz w:val="32"/>
          <w:szCs w:val="32"/>
        </w:rPr>
        <w:t>三、单位主要工作总结</w:t>
      </w:r>
      <w:bookmarkEnd w:id="5"/>
    </w:p>
    <w:p w14:paraId="42D76E82">
      <w:pPr>
        <w:suppressAutoHyphens/>
        <w:topLinePunct/>
        <w:autoSpaceDE w:val="0"/>
        <w:spacing w:line="600" w:lineRule="exact"/>
        <w:ind w:firstLine="640" w:firstLineChars="200"/>
        <w:jc w:val="both"/>
        <w:rPr>
          <w:rFonts w:ascii="仿宋" w:hAnsi="仿宋" w:eastAsia="仿宋"/>
          <w:sz w:val="32"/>
          <w:szCs w:val="32"/>
        </w:rPr>
      </w:pPr>
      <w:r>
        <w:rPr>
          <w:rFonts w:hint="eastAsia" w:ascii="仿宋" w:hAnsi="仿宋" w:eastAsia="仿宋" w:cs="仿宋"/>
          <w:sz w:val="32"/>
        </w:rPr>
        <w:t>2024</w:t>
      </w:r>
      <w:r>
        <w:rPr>
          <w:rFonts w:hint="eastAsia" w:ascii="仿宋" w:hAnsi="仿宋" w:eastAsia="仿宋"/>
          <w:sz w:val="32"/>
          <w:szCs w:val="32"/>
        </w:rPr>
        <w:t>年，福州市台江区保密技术检查中心</w:t>
      </w:r>
      <w:r>
        <w:rPr>
          <w:rFonts w:ascii="仿宋" w:hAnsi="仿宋" w:eastAsia="仿宋"/>
          <w:sz w:val="32"/>
          <w:u w:color="auto"/>
        </w:rPr>
        <w:t>单位</w:t>
      </w:r>
      <w:r>
        <w:rPr>
          <w:rFonts w:hint="eastAsia" w:ascii="仿宋" w:hAnsi="仿宋" w:eastAsia="仿宋"/>
          <w:sz w:val="32"/>
          <w:szCs w:val="32"/>
        </w:rPr>
        <w:t>主要任务是：</w:t>
      </w:r>
      <w:r>
        <w:rPr>
          <w:rFonts w:hint="eastAsia" w:ascii="仿宋" w:hAnsi="仿宋" w:eastAsia="仿宋" w:cs="仿宋_GB2312"/>
          <w:sz w:val="32"/>
          <w:szCs w:val="32"/>
        </w:rPr>
        <w:t>贯彻市委保密委、市国家保密局的有关规定和文件精神，强化工作举措，加强保密服务保障能力建设，健全网络保密管理体系</w:t>
      </w:r>
      <w:r>
        <w:rPr>
          <w:rFonts w:hint="eastAsia" w:ascii="仿宋" w:hAnsi="仿宋" w:eastAsia="仿宋"/>
          <w:sz w:val="32"/>
          <w:szCs w:val="32"/>
        </w:rPr>
        <w:t>。围绕上述任务，重点完成了以下工作：</w:t>
      </w:r>
    </w:p>
    <w:p w14:paraId="70D44CE8">
      <w:pPr>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
          <w:sz w:val="32"/>
          <w:u w:color="auto"/>
        </w:rPr>
        <w:t>定期开展年度定密事项报备，涉密人员统计和保密检查，发出《保密风险提醒函》6份，《保密违规通报》2份，组织保密专题培训4次 。</w:t>
      </w:r>
    </w:p>
    <w:p w14:paraId="2A680C73">
      <w:pPr>
        <w:widowControl/>
        <w:overflowPunct w:val="0"/>
        <w:autoSpaceDE w:val="0"/>
        <w:autoSpaceDN w:val="0"/>
        <w:spacing w:line="240" w:lineRule="auto"/>
        <w:jc w:val="both"/>
        <w:rPr>
          <w:rFonts w:ascii="黑体" w:hAnsi="黑体" w:eastAsia="黑体"/>
          <w:sz w:val="36"/>
          <w:szCs w:val="36"/>
        </w:rPr>
      </w:pPr>
      <w:r>
        <w:rPr>
          <w:rFonts w:ascii="黑体" w:hAnsi="黑体" w:eastAsia="黑体"/>
          <w:sz w:val="36"/>
          <w:szCs w:val="36"/>
        </w:rPr>
        <w:br w:type="page"/>
      </w:r>
    </w:p>
    <w:p w14:paraId="6372FC07">
      <w:pPr>
        <w:pStyle w:val="4"/>
        <w:overflowPunct w:val="0"/>
        <w:jc w:val="center"/>
        <w:rPr>
          <w:rFonts w:ascii="黑体" w:hAnsi="黑体" w:eastAsia="黑体"/>
          <w:sz w:val="36"/>
          <w:szCs w:val="36"/>
          <w:lang w:eastAsia="zh-CN"/>
        </w:rPr>
      </w:pPr>
    </w:p>
    <w:p w14:paraId="5D642A7B">
      <w:pPr>
        <w:pStyle w:val="4"/>
        <w:overflowPunct w:val="0"/>
        <w:jc w:val="center"/>
        <w:rPr>
          <w:rFonts w:ascii="黑体" w:hAnsi="黑体" w:eastAsia="黑体"/>
          <w:sz w:val="36"/>
          <w:szCs w:val="36"/>
          <w:lang w:eastAsia="zh-CN"/>
        </w:rPr>
      </w:pPr>
    </w:p>
    <w:p w14:paraId="2F23C324">
      <w:pPr>
        <w:pStyle w:val="4"/>
        <w:overflowPunct w:val="0"/>
        <w:jc w:val="center"/>
        <w:rPr>
          <w:rFonts w:ascii="黑体" w:hAnsi="黑体" w:eastAsia="黑体"/>
          <w:sz w:val="36"/>
          <w:szCs w:val="36"/>
          <w:lang w:eastAsia="zh-CN"/>
        </w:rPr>
      </w:pPr>
    </w:p>
    <w:p w14:paraId="7F5CC72A">
      <w:pPr>
        <w:pStyle w:val="4"/>
        <w:overflowPunct w:val="0"/>
        <w:jc w:val="center"/>
        <w:rPr>
          <w:rFonts w:ascii="黑体" w:hAnsi="黑体" w:eastAsia="黑体"/>
          <w:sz w:val="36"/>
          <w:szCs w:val="36"/>
          <w:lang w:eastAsia="zh-CN"/>
        </w:rPr>
      </w:pPr>
    </w:p>
    <w:p w14:paraId="5F493432">
      <w:pPr>
        <w:pStyle w:val="4"/>
        <w:overflowPunct w:val="0"/>
        <w:jc w:val="center"/>
        <w:rPr>
          <w:rFonts w:ascii="黑体" w:hAnsi="黑体" w:eastAsia="黑体"/>
          <w:sz w:val="36"/>
          <w:szCs w:val="36"/>
          <w:lang w:eastAsia="zh-CN"/>
        </w:rPr>
      </w:pPr>
    </w:p>
    <w:p w14:paraId="737D210A">
      <w:pPr>
        <w:pStyle w:val="4"/>
        <w:overflowPunct w:val="0"/>
        <w:jc w:val="center"/>
        <w:rPr>
          <w:rFonts w:ascii="黑体" w:hAnsi="黑体" w:eastAsia="黑体"/>
          <w:sz w:val="36"/>
          <w:szCs w:val="36"/>
          <w:lang w:eastAsia="zh-CN"/>
        </w:rPr>
      </w:pPr>
    </w:p>
    <w:p w14:paraId="438E61A9">
      <w:pPr>
        <w:pStyle w:val="4"/>
        <w:overflowPunct w:val="0"/>
        <w:jc w:val="center"/>
        <w:rPr>
          <w:rFonts w:ascii="黑体" w:hAnsi="黑体" w:eastAsia="黑体"/>
          <w:sz w:val="36"/>
          <w:szCs w:val="36"/>
          <w:lang w:eastAsia="zh-CN"/>
        </w:rPr>
      </w:pPr>
    </w:p>
    <w:p w14:paraId="6E101671">
      <w:pPr>
        <w:pStyle w:val="4"/>
        <w:overflowPunct w:val="0"/>
        <w:outlineLvl w:val="0"/>
        <w:rPr>
          <w:rFonts w:ascii="黑体" w:hAnsi="黑体" w:eastAsia="黑体"/>
          <w:sz w:val="56"/>
          <w:szCs w:val="36"/>
          <w:lang w:eastAsia="zh-CN"/>
        </w:rPr>
      </w:pPr>
      <w:bookmarkStart w:id="6" w:name="_Toc256000005"/>
      <w:r>
        <w:rPr>
          <w:rFonts w:hint="eastAsia" w:ascii="黑体" w:hAnsi="黑体" w:eastAsia="黑体"/>
          <w:sz w:val="56"/>
          <w:szCs w:val="36"/>
          <w:lang w:eastAsia="zh-CN"/>
        </w:rPr>
        <w:t>第二部分</w:t>
      </w:r>
      <w:bookmarkEnd w:id="6"/>
    </w:p>
    <w:p w14:paraId="4B098C1D">
      <w:pPr>
        <w:pStyle w:val="4"/>
        <w:overflowPunct w:val="0"/>
        <w:jc w:val="center"/>
        <w:outlineLvl w:val="0"/>
        <w:rPr>
          <w:rFonts w:ascii="黑体" w:hAnsi="黑体" w:eastAsia="黑体"/>
          <w:sz w:val="56"/>
          <w:szCs w:val="36"/>
          <w:lang w:eastAsia="zh-CN"/>
        </w:rPr>
      </w:pPr>
      <w:bookmarkStart w:id="7" w:name="_Toc256000006"/>
      <w:r>
        <w:rPr>
          <w:rFonts w:hint="eastAsia" w:ascii="黑体" w:hAnsi="黑体" w:eastAsia="黑体" w:cs="黑体"/>
          <w:bCs/>
          <w:sz w:val="56"/>
          <w:lang w:eastAsia="zh-CN"/>
        </w:rPr>
        <w:t>2024</w:t>
      </w:r>
      <w:r>
        <w:rPr>
          <w:rFonts w:hint="eastAsia" w:ascii="黑体" w:hAnsi="黑体" w:eastAsia="黑体" w:cs="黑体"/>
          <w:bCs/>
          <w:sz w:val="56"/>
        </w:rPr>
        <w:t>年度</w:t>
      </w:r>
      <w:r>
        <w:rPr>
          <w:rFonts w:hint="eastAsia" w:ascii="黑体" w:hAnsi="黑体" w:eastAsia="黑体" w:cs="黑体"/>
          <w:bCs/>
          <w:sz w:val="56"/>
          <w:szCs w:val="56"/>
        </w:rPr>
        <w:t>单位</w:t>
      </w:r>
      <w:r>
        <w:rPr>
          <w:rFonts w:hint="eastAsia" w:ascii="黑体" w:hAnsi="黑体" w:eastAsia="黑体"/>
          <w:sz w:val="56"/>
          <w:szCs w:val="36"/>
          <w:lang w:eastAsia="zh-CN"/>
        </w:rPr>
        <w:t>决算表</w:t>
      </w:r>
      <w:bookmarkEnd w:id="7"/>
    </w:p>
    <w:p w14:paraId="2C6C8D2B">
      <w:pPr>
        <w:overflowPunct w:val="0"/>
        <w:autoSpaceDE w:val="0"/>
        <w:autoSpaceDN w:val="0"/>
        <w:jc w:val="left"/>
        <w:rPr>
          <w:rFonts w:ascii="黑体" w:hAnsi="仿宋" w:eastAsia="黑体"/>
          <w:sz w:val="32"/>
          <w:szCs w:val="32"/>
        </w:rPr>
      </w:pPr>
    </w:p>
    <w:p w14:paraId="1A83B4CC">
      <w:pPr>
        <w:widowControl/>
        <w:overflowPunct w:val="0"/>
        <w:autoSpaceDE w:val="0"/>
        <w:autoSpaceDN w:val="0"/>
        <w:spacing w:line="240" w:lineRule="auto"/>
        <w:jc w:val="left"/>
        <w:rPr>
          <w:rFonts w:ascii="黑体" w:hAnsi="仿宋" w:eastAsia="黑体"/>
          <w:sz w:val="32"/>
          <w:szCs w:val="32"/>
        </w:rPr>
      </w:pPr>
      <w:r>
        <w:rPr>
          <w:rFonts w:ascii="黑体" w:hAnsi="仿宋" w:eastAsia="黑体"/>
          <w:sz w:val="32"/>
          <w:szCs w:val="32"/>
        </w:rPr>
        <w:br w:type="page"/>
      </w:r>
    </w:p>
    <w:p w14:paraId="5CA351B7">
      <w:pPr>
        <w:overflowPunct w:val="0"/>
        <w:autoSpaceDE w:val="0"/>
        <w:autoSpaceDN w:val="0"/>
        <w:jc w:val="left"/>
        <w:outlineLvl w:val="1"/>
        <w:rPr>
          <w:rFonts w:ascii="黑体" w:hAnsi="仿宋" w:eastAsia="黑体"/>
          <w:sz w:val="32"/>
          <w:szCs w:val="32"/>
        </w:rPr>
      </w:pPr>
      <w:bookmarkStart w:id="8" w:name="_Toc256000007"/>
      <w:r>
        <w:rPr>
          <w:rFonts w:hint="eastAsia" w:ascii="黑体" w:hAnsi="仿宋" w:eastAsia="黑体"/>
          <w:sz w:val="32"/>
          <w:szCs w:val="32"/>
        </w:rPr>
        <w:t>一、收入支出决算总表</w:t>
      </w:r>
      <w:bookmarkEnd w:id="8"/>
    </w:p>
    <w:tbl>
      <w:tblPr>
        <w:tblStyle w:val="11"/>
        <w:tblW w:w="9640" w:type="dxa"/>
        <w:tblInd w:w="-426" w:type="dxa"/>
        <w:tblLayout w:type="fixed"/>
        <w:tblCellMar>
          <w:top w:w="0" w:type="dxa"/>
          <w:left w:w="108" w:type="dxa"/>
          <w:bottom w:w="0" w:type="dxa"/>
          <w:right w:w="108" w:type="dxa"/>
        </w:tblCellMar>
      </w:tblPr>
      <w:tblGrid>
        <w:gridCol w:w="3687"/>
        <w:gridCol w:w="1417"/>
        <w:gridCol w:w="3260"/>
        <w:gridCol w:w="1276"/>
      </w:tblGrid>
      <w:tr w14:paraId="469FF346">
        <w:tblPrEx>
          <w:tblCellMar>
            <w:top w:w="0" w:type="dxa"/>
            <w:left w:w="108" w:type="dxa"/>
            <w:bottom w:w="0" w:type="dxa"/>
            <w:right w:w="108" w:type="dxa"/>
          </w:tblCellMar>
        </w:tblPrEx>
        <w:trPr>
          <w:trHeight w:val="368" w:hRule="atLeast"/>
        </w:trPr>
        <w:tc>
          <w:tcPr>
            <w:tcW w:w="9640" w:type="dxa"/>
            <w:gridSpan w:val="4"/>
            <w:tcBorders>
              <w:top w:val="nil"/>
              <w:left w:val="nil"/>
              <w:bottom w:val="nil"/>
              <w:right w:val="nil"/>
            </w:tcBorders>
            <w:shd w:val="clear" w:color="auto" w:fill="auto"/>
            <w:vAlign w:val="bottom"/>
          </w:tcPr>
          <w:p w14:paraId="4669983F">
            <w:pPr>
              <w:widowControl/>
              <w:overflowPunct w:val="0"/>
              <w:autoSpaceDE w:val="0"/>
              <w:autoSpaceDN w:val="0"/>
              <w:spacing w:line="240" w:lineRule="auto"/>
              <w:jc w:val="center"/>
              <w:rPr>
                <w:rFonts w:ascii="黑体" w:hAnsi="Arial" w:eastAsia="黑体" w:cs="Arial"/>
                <w:kern w:val="0"/>
                <w:sz w:val="44"/>
                <w:szCs w:val="44"/>
              </w:rPr>
            </w:pPr>
            <w:r>
              <w:rPr>
                <w:rFonts w:hint="eastAsia" w:ascii="黑体" w:hAnsi="Arial" w:eastAsia="黑体" w:cs="Arial"/>
                <w:color w:val="000000"/>
                <w:kern w:val="0"/>
                <w:sz w:val="36"/>
                <w:szCs w:val="36"/>
              </w:rPr>
              <w:t>收入支出决算总表</w:t>
            </w:r>
          </w:p>
        </w:tc>
      </w:tr>
      <w:tr w14:paraId="6393755C">
        <w:tblPrEx>
          <w:tblCellMar>
            <w:top w:w="0" w:type="dxa"/>
            <w:left w:w="108" w:type="dxa"/>
            <w:bottom w:w="0" w:type="dxa"/>
            <w:right w:w="108" w:type="dxa"/>
          </w:tblCellMar>
        </w:tblPrEx>
        <w:trPr>
          <w:trHeight w:val="178" w:hRule="atLeast"/>
        </w:trPr>
        <w:tc>
          <w:tcPr>
            <w:tcW w:w="3687" w:type="dxa"/>
            <w:tcBorders>
              <w:top w:val="nil"/>
              <w:left w:val="nil"/>
              <w:bottom w:val="nil"/>
              <w:right w:val="nil"/>
            </w:tcBorders>
            <w:shd w:val="clear" w:color="auto" w:fill="auto"/>
            <w:vAlign w:val="bottom"/>
          </w:tcPr>
          <w:p w14:paraId="34D77A6C">
            <w:pPr>
              <w:widowControl/>
              <w:overflowPunct w:val="0"/>
              <w:autoSpaceDE w:val="0"/>
              <w:autoSpaceDN w:val="0"/>
              <w:spacing w:line="240" w:lineRule="auto"/>
              <w:jc w:val="left"/>
              <w:rPr>
                <w:rFonts w:ascii="宋体" w:hAnsi="宋体" w:eastAsia="宋体" w:cs="Arial"/>
                <w:color w:val="000000"/>
                <w:kern w:val="0"/>
                <w:sz w:val="22"/>
              </w:rPr>
            </w:pPr>
          </w:p>
        </w:tc>
        <w:tc>
          <w:tcPr>
            <w:tcW w:w="1417" w:type="dxa"/>
            <w:tcBorders>
              <w:top w:val="nil"/>
              <w:left w:val="nil"/>
              <w:bottom w:val="nil"/>
              <w:right w:val="nil"/>
            </w:tcBorders>
            <w:shd w:val="clear" w:color="auto" w:fill="auto"/>
            <w:vAlign w:val="bottom"/>
          </w:tcPr>
          <w:p w14:paraId="1B4EE6A4">
            <w:pPr>
              <w:widowControl/>
              <w:overflowPunct w:val="0"/>
              <w:autoSpaceDE w:val="0"/>
              <w:autoSpaceDN w:val="0"/>
              <w:spacing w:line="240" w:lineRule="auto"/>
              <w:jc w:val="right"/>
              <w:rPr>
                <w:rFonts w:ascii="宋体" w:hAnsi="宋体" w:eastAsia="宋体" w:cs="Arial"/>
                <w:color w:val="000000"/>
                <w:kern w:val="0"/>
                <w:sz w:val="20"/>
                <w:szCs w:val="20"/>
              </w:rPr>
            </w:pPr>
          </w:p>
        </w:tc>
        <w:tc>
          <w:tcPr>
            <w:tcW w:w="4536" w:type="dxa"/>
            <w:gridSpan w:val="2"/>
            <w:tcBorders>
              <w:top w:val="nil"/>
              <w:left w:val="nil"/>
              <w:bottom w:val="nil"/>
              <w:right w:val="nil"/>
            </w:tcBorders>
            <w:shd w:val="clear" w:color="auto" w:fill="auto"/>
            <w:vAlign w:val="bottom"/>
          </w:tcPr>
          <w:p w14:paraId="29EA5EF2">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531816B0">
        <w:tblPrEx>
          <w:tblCellMar>
            <w:top w:w="0" w:type="dxa"/>
            <w:left w:w="108" w:type="dxa"/>
            <w:bottom w:w="0" w:type="dxa"/>
            <w:right w:w="108" w:type="dxa"/>
          </w:tblCellMar>
        </w:tblPrEx>
        <w:trPr>
          <w:trHeight w:val="300" w:hRule="atLeast"/>
        </w:trPr>
        <w:tc>
          <w:tcPr>
            <w:tcW w:w="5104" w:type="dxa"/>
            <w:gridSpan w:val="2"/>
            <w:tcBorders>
              <w:top w:val="nil"/>
              <w:left w:val="nil"/>
              <w:bottom w:val="single" w:color="auto" w:sz="4" w:space="0"/>
              <w:right w:val="nil"/>
            </w:tcBorders>
            <w:shd w:val="clear" w:color="auto" w:fill="auto"/>
            <w:vAlign w:val="bottom"/>
          </w:tcPr>
          <w:p w14:paraId="693E3963">
            <w:pPr>
              <w:widowControl/>
              <w:overflowPunct w:val="0"/>
              <w:autoSpaceDE w:val="0"/>
              <w:autoSpaceDN w:val="0"/>
              <w:spacing w:line="240" w:lineRule="auto"/>
              <w:jc w:val="left"/>
              <w:rPr>
                <w:rFonts w:ascii="宋体" w:hAnsi="宋体" w:eastAsia="宋体" w:cs="Arial"/>
                <w:color w:val="000000"/>
                <w:kern w:val="0"/>
                <w:sz w:val="20"/>
                <w:szCs w:val="20"/>
              </w:rPr>
            </w:pPr>
            <w:r>
              <w:rPr>
                <w:rFonts w:hint="eastAsia" w:ascii="宋体" w:hAnsi="宋体" w:eastAsia="宋体" w:cs="Arial"/>
                <w:color w:val="000000"/>
                <w:kern w:val="0"/>
                <w:sz w:val="22"/>
              </w:rPr>
              <w:t>单位：福州市台江区保密技术检查中心</w:t>
            </w:r>
          </w:p>
        </w:tc>
        <w:tc>
          <w:tcPr>
            <w:tcW w:w="4536" w:type="dxa"/>
            <w:gridSpan w:val="2"/>
            <w:tcBorders>
              <w:top w:val="nil"/>
              <w:left w:val="nil"/>
              <w:bottom w:val="single" w:color="auto" w:sz="4" w:space="0"/>
              <w:right w:val="nil"/>
            </w:tcBorders>
            <w:shd w:val="clear" w:color="auto" w:fill="auto"/>
            <w:vAlign w:val="bottom"/>
          </w:tcPr>
          <w:p w14:paraId="7AB02D44">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7F7725FB">
        <w:tblPrEx>
          <w:tblCellMar>
            <w:top w:w="0" w:type="dxa"/>
            <w:left w:w="108" w:type="dxa"/>
            <w:bottom w:w="0" w:type="dxa"/>
            <w:right w:w="108" w:type="dxa"/>
          </w:tblCellMar>
        </w:tblPrEx>
        <w:trPr>
          <w:trHeight w:val="308" w:hRule="atLeast"/>
        </w:trPr>
        <w:tc>
          <w:tcPr>
            <w:tcW w:w="51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02F58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收入</w:t>
            </w:r>
          </w:p>
        </w:tc>
        <w:tc>
          <w:tcPr>
            <w:tcW w:w="4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F2BC8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w:t>
            </w:r>
          </w:p>
        </w:tc>
      </w:tr>
      <w:tr w14:paraId="59680DC2">
        <w:tblPrEx>
          <w:tblCellMar>
            <w:top w:w="0" w:type="dxa"/>
            <w:left w:w="108" w:type="dxa"/>
            <w:bottom w:w="0" w:type="dxa"/>
            <w:right w:w="108" w:type="dxa"/>
          </w:tblCellMar>
        </w:tblPrEx>
        <w:trPr>
          <w:trHeight w:val="191"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472EBA8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0490E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决算数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20AA5CE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项目(按支出功能分类)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08998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决算数</w:t>
            </w:r>
          </w:p>
        </w:tc>
      </w:tr>
      <w:tr w14:paraId="782E47F8">
        <w:tblPrEx>
          <w:tblCellMar>
            <w:top w:w="0" w:type="dxa"/>
            <w:left w:w="108" w:type="dxa"/>
            <w:bottom w:w="0" w:type="dxa"/>
            <w:right w:w="108" w:type="dxa"/>
          </w:tblCellMar>
        </w:tblPrEx>
        <w:trPr>
          <w:trHeight w:val="306"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0710302C">
            <w:pPr>
              <w:overflowPunct w:val="0"/>
              <w:autoSpaceDE w:val="0"/>
              <w:autoSpaceDN w:val="0"/>
              <w:rPr>
                <w:rFonts w:ascii="宋体" w:hAnsi="宋体" w:eastAsia="宋体" w:cs="宋体"/>
                <w:szCs w:val="21"/>
              </w:rPr>
            </w:pPr>
            <w:r>
              <w:rPr>
                <w:rFonts w:hint="eastAsia" w:ascii="宋体" w:hAnsi="宋体" w:eastAsia="宋体" w:cs="宋体"/>
                <w:szCs w:val="21"/>
              </w:rPr>
              <w:t>一、一般公共预算财政拨款收入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A1213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140.21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52443D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一、一般公共服务支出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19BF79">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89.57　</w:t>
            </w:r>
          </w:p>
        </w:tc>
      </w:tr>
      <w:tr w14:paraId="0DC4B9AC">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3263C9F7">
            <w:pPr>
              <w:overflowPunct w:val="0"/>
              <w:autoSpaceDE w:val="0"/>
              <w:autoSpaceDN w:val="0"/>
              <w:rPr>
                <w:rFonts w:ascii="宋体" w:hAnsi="宋体" w:eastAsia="宋体" w:cs="宋体"/>
                <w:szCs w:val="21"/>
              </w:rPr>
            </w:pPr>
            <w:r>
              <w:rPr>
                <w:rFonts w:hint="eastAsia" w:ascii="宋体" w:hAnsi="宋体" w:eastAsia="宋体" w:cs="宋体"/>
                <w:szCs w:val="21"/>
              </w:rPr>
              <w:t>二、政府性基金预算财政拨款收入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1EB72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1B8877C">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二、外交支出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C0187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B7180B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1FDCAB94">
            <w:pPr>
              <w:overflowPunct w:val="0"/>
              <w:autoSpaceDE w:val="0"/>
              <w:autoSpaceDN w:val="0"/>
              <w:rPr>
                <w:rFonts w:ascii="宋体" w:hAnsi="宋体" w:eastAsia="宋体" w:cs="宋体"/>
                <w:szCs w:val="21"/>
              </w:rPr>
            </w:pPr>
            <w:r>
              <w:rPr>
                <w:rFonts w:hint="eastAsia" w:ascii="宋体" w:hAnsi="宋体" w:eastAsia="宋体" w:cs="宋体"/>
                <w:szCs w:val="21"/>
              </w:rPr>
              <w:t>三、国有资本经营预算财政拨款收入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A2E26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98A059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三、国防支出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715C8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1D7D427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554B9386">
            <w:pPr>
              <w:overflowPunct w:val="0"/>
              <w:autoSpaceDE w:val="0"/>
              <w:autoSpaceDN w:val="0"/>
              <w:rPr>
                <w:rFonts w:ascii="宋体" w:hAnsi="宋体" w:eastAsia="宋体" w:cs="宋体"/>
                <w:szCs w:val="21"/>
              </w:rPr>
            </w:pPr>
            <w:r>
              <w:rPr>
                <w:rFonts w:hint="eastAsia" w:ascii="宋体" w:hAnsi="宋体" w:eastAsia="宋体" w:cs="宋体"/>
                <w:szCs w:val="21"/>
              </w:rPr>
              <w:t>四、上级补助收入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19271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83BAE1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四、公共安全支出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FF4F8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782D436">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3D9146E6">
            <w:pPr>
              <w:overflowPunct w:val="0"/>
              <w:autoSpaceDE w:val="0"/>
              <w:autoSpaceDN w:val="0"/>
              <w:rPr>
                <w:rFonts w:ascii="宋体" w:hAnsi="宋体" w:eastAsia="宋体" w:cs="宋体"/>
                <w:szCs w:val="21"/>
              </w:rPr>
            </w:pPr>
            <w:r>
              <w:rPr>
                <w:rFonts w:hint="eastAsia" w:ascii="宋体" w:hAnsi="宋体" w:eastAsia="宋体" w:cs="宋体"/>
                <w:szCs w:val="21"/>
              </w:rPr>
              <w:t>五、事业收入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801715">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2740F56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五、教育支出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1F688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B4A8F74">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216B547B">
            <w:pPr>
              <w:overflowPunct w:val="0"/>
              <w:autoSpaceDE w:val="0"/>
              <w:autoSpaceDN w:val="0"/>
              <w:rPr>
                <w:rFonts w:ascii="宋体" w:hAnsi="宋体" w:eastAsia="宋体" w:cs="宋体"/>
                <w:szCs w:val="21"/>
              </w:rPr>
            </w:pPr>
            <w:r>
              <w:rPr>
                <w:rFonts w:hint="eastAsia" w:ascii="宋体" w:hAnsi="宋体" w:eastAsia="宋体" w:cs="宋体"/>
                <w:szCs w:val="21"/>
              </w:rPr>
              <w:t>六、经营收入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C5A829">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20726DA">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六、科学技术支出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4FC04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5B879E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14:paraId="19722194">
            <w:pPr>
              <w:overflowPunct w:val="0"/>
              <w:autoSpaceDE w:val="0"/>
              <w:autoSpaceDN w:val="0"/>
              <w:rPr>
                <w:rFonts w:ascii="宋体" w:hAnsi="宋体" w:eastAsia="宋体" w:cs="宋体"/>
                <w:szCs w:val="21"/>
              </w:rPr>
            </w:pPr>
            <w:r>
              <w:rPr>
                <w:rFonts w:hint="eastAsia" w:ascii="宋体" w:hAnsi="宋体" w:eastAsia="宋体" w:cs="宋体"/>
                <w:szCs w:val="21"/>
              </w:rPr>
              <w:t>七、附属单位上缴收入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CAD53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2B009F45">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七、文化旅游体育与传媒支出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ADEE60">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A5C5044">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F9756AD">
            <w:pPr>
              <w:widowControl/>
              <w:overflowPunct w:val="0"/>
              <w:autoSpaceDE w:val="0"/>
              <w:autoSpaceDN w:val="0"/>
              <w:spacing w:line="240" w:lineRule="auto"/>
              <w:jc w:val="left"/>
              <w:rPr>
                <w:rFonts w:ascii="宋体" w:hAnsi="宋体" w:eastAsia="宋体" w:cs="宋体"/>
                <w:szCs w:val="21"/>
              </w:rPr>
            </w:pPr>
            <w:r>
              <w:rPr>
                <w:rFonts w:hint="eastAsia" w:ascii="宋体" w:hAnsi="宋体" w:eastAsia="宋体" w:cs="宋体"/>
                <w:szCs w:val="21"/>
              </w:rPr>
              <w:t>八、其他收入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025C8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02AA42A">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八、社会保障和就业支出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800072">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19.33　</w:t>
            </w:r>
          </w:p>
        </w:tc>
      </w:tr>
      <w:tr w14:paraId="369B36F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9420568">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DEA95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28E328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九、卫生健康支出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498DC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7.14　</w:t>
            </w:r>
          </w:p>
        </w:tc>
      </w:tr>
      <w:tr w14:paraId="0C629452">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D46A1D9">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D04F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8F8E10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十、节能环保支出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A7C03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581AD85">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C25384F">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93651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7AE9640">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十一、城乡社区支出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2F65D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9D7B4FB">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5099601">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67175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7D66D9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十二、农林水支出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390CA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2727918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0FDF1893">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B3267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530967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十三、交通运输支出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F9F1A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11A895E9">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326D97F">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DBBF7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6CCDCD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十四、资源勘探工业信息等支出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96761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D4FC5B6">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0A69FC6E">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4826D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38F3D19E">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十五、商业服务业等支出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326012">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3E843AE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4CBCBF68">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17E8D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547E3E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十六、金融支出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4DCFC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F12056B">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07BCC05">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C458E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0AFFF778">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十七、援助其他地区支出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C92957">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931B144">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2812B88B">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A2E16C">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2D99CB1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十八、自然资源海洋气象等支出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6778C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011BDF83">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21DFA6CD">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AEBBA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FCFB0D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十九、住房保障支出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5D429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24.17　</w:t>
            </w:r>
          </w:p>
        </w:tc>
      </w:tr>
      <w:tr w14:paraId="11D9919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50F1458">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A590E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5AD1108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二十、粮油物资储备支出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8B6B28">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2E39E9C4">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413776A6">
            <w:pPr>
              <w:widowControl/>
              <w:overflowPunct w:val="0"/>
              <w:autoSpaceDE w:val="0"/>
              <w:autoSpaceDN w:val="0"/>
              <w:spacing w:line="240" w:lineRule="auto"/>
              <w:jc w:val="left"/>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6EBD9E">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2EA9B68">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二十一、国有资本经营预算支出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CA7DA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EABFF56">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6100BE5E">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8CB37E">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8BAAB1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二十二、灾害防治及应急管理支出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F55B3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2EC66CA">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9F897FC">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1B2DE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0B9A371">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二十三、其他支出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D4F72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45085F5C">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3B88129A">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13514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1849090C">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二十四、债务还本支出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C2F4E4">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19D9FFA7">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59E7F2A">
            <w:pPr>
              <w:widowControl/>
              <w:overflowPunct w:val="0"/>
              <w:autoSpaceDE w:val="0"/>
              <w:autoSpaceDN w:val="0"/>
              <w:spacing w:line="240" w:lineRule="auto"/>
              <w:jc w:val="center"/>
              <w:rPr>
                <w:rFonts w:ascii="宋体" w:hAnsi="宋体" w:eastAsia="宋体" w:cs="宋体"/>
                <w:b/>
                <w:bCs/>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DF0A94">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FF4E88E">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二十五、债务付息支出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6A8765">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906F5DF">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0C4C622C">
            <w:pPr>
              <w:widowControl/>
              <w:overflowPunct w:val="0"/>
              <w:autoSpaceDE w:val="0"/>
              <w:autoSpaceDN w:val="0"/>
              <w:spacing w:line="240" w:lineRule="auto"/>
              <w:jc w:val="center"/>
              <w:rPr>
                <w:rFonts w:ascii="宋体" w:hAnsi="宋体" w:eastAsia="宋体" w:cs="宋体"/>
                <w:b/>
                <w:bCs/>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468A56">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14:paraId="4A4CA87A">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color w:val="000000"/>
                <w:szCs w:val="21"/>
              </w:rPr>
              <w:t>二十六、抗疫特别国债安排的支出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9A6B8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02EC70A">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79E3DC8B">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本年收入合计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E7E79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140.21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6A2B9486">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本年支出合计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B60789">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140.21　</w:t>
            </w:r>
          </w:p>
        </w:tc>
      </w:tr>
      <w:tr w14:paraId="6B3AEBC8">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1CE3AC4F">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Arial"/>
                <w:color w:val="000000"/>
                <w:kern w:val="0"/>
                <w:sz w:val="22"/>
              </w:rPr>
              <w:t>使用非财政拨款结余（含专用结余）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8F81B0">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5147E239">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结余分配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2F500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125191DC">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3E0F42CC">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年初结转和结余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C9E8B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35C18A12">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年末结转和结余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5A7A0F">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CB5803C">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47B8C2E4">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9BC0B6">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140.21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1C197334">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0AEA6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140.21　</w:t>
            </w:r>
          </w:p>
        </w:tc>
      </w:tr>
    </w:tbl>
    <w:p w14:paraId="369CB5D9">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注：1. 本表反映单位本年度的总收支和年末结转结余情况。</w:t>
      </w:r>
      <w:r>
        <w:rPr>
          <w:rFonts w:hint="eastAsia" w:ascii="宋体" w:hAnsi="宋体" w:eastAsia="宋体" w:cs="宋体"/>
          <w:sz w:val="24"/>
          <w:szCs w:val="24"/>
        </w:rPr>
        <w:cr/>
      </w:r>
      <w:r>
        <w:rPr>
          <w:rFonts w:hint="eastAsia" w:ascii="宋体" w:hAnsi="宋体" w:eastAsia="宋体" w:cs="宋体"/>
          <w:sz w:val="24"/>
          <w:szCs w:val="24"/>
        </w:rPr>
        <w:t xml:space="preserve">    2. 本套报表金额单位转换时可能存在尾数误差。</w:t>
      </w:r>
    </w:p>
    <w:p w14:paraId="7B2FEF8E">
      <w:pPr>
        <w:widowControl/>
        <w:overflowPunct w:val="0"/>
        <w:autoSpaceDE w:val="0"/>
        <w:autoSpaceDN w:val="0"/>
        <w:spacing w:line="240" w:lineRule="auto"/>
        <w:jc w:val="left"/>
        <w:rPr>
          <w:rFonts w:ascii="黑体" w:hAnsi="仿宋" w:eastAsia="黑体"/>
          <w:sz w:val="32"/>
          <w:szCs w:val="32"/>
        </w:rPr>
        <w:sectPr>
          <w:footerReference r:id="rId11"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sz w:val="24"/>
          <w:szCs w:val="24"/>
        </w:rPr>
        <w:br w:type="page"/>
      </w:r>
    </w:p>
    <w:p w14:paraId="5898C9F6">
      <w:pPr>
        <w:overflowPunct w:val="0"/>
        <w:autoSpaceDE w:val="0"/>
        <w:autoSpaceDN w:val="0"/>
        <w:jc w:val="left"/>
        <w:outlineLvl w:val="1"/>
        <w:rPr>
          <w:rFonts w:ascii="黑体" w:hAnsi="仿宋" w:eastAsia="黑体"/>
          <w:sz w:val="32"/>
          <w:szCs w:val="32"/>
        </w:rPr>
      </w:pPr>
      <w:bookmarkStart w:id="9" w:name="_Toc256000008"/>
      <w:r>
        <w:rPr>
          <w:rFonts w:hint="eastAsia" w:ascii="黑体" w:hAnsi="仿宋" w:eastAsia="黑体"/>
          <w:sz w:val="32"/>
          <w:szCs w:val="32"/>
        </w:rPr>
        <w:t>二、收入决算表</w:t>
      </w:r>
      <w:bookmarkEnd w:id="9"/>
    </w:p>
    <w:tbl>
      <w:tblPr>
        <w:tblStyle w:val="11"/>
        <w:tblW w:w="13427" w:type="dxa"/>
        <w:tblInd w:w="91" w:type="dxa"/>
        <w:tblLayout w:type="fixed"/>
        <w:tblCellMar>
          <w:top w:w="0" w:type="dxa"/>
          <w:left w:w="108" w:type="dxa"/>
          <w:bottom w:w="0" w:type="dxa"/>
          <w:right w:w="108" w:type="dxa"/>
        </w:tblCellMar>
      </w:tblPr>
      <w:tblGrid>
        <w:gridCol w:w="453"/>
        <w:gridCol w:w="398"/>
        <w:gridCol w:w="423"/>
        <w:gridCol w:w="1583"/>
        <w:gridCol w:w="236"/>
        <w:gridCol w:w="1008"/>
        <w:gridCol w:w="1680"/>
        <w:gridCol w:w="1566"/>
        <w:gridCol w:w="1541"/>
        <w:gridCol w:w="1090"/>
        <w:gridCol w:w="1092"/>
        <w:gridCol w:w="1245"/>
        <w:gridCol w:w="1112"/>
      </w:tblGrid>
      <w:tr w14:paraId="261A2A91">
        <w:tblPrEx>
          <w:tblCellMar>
            <w:top w:w="0" w:type="dxa"/>
            <w:left w:w="108" w:type="dxa"/>
            <w:bottom w:w="0" w:type="dxa"/>
            <w:right w:w="108" w:type="dxa"/>
          </w:tblCellMar>
        </w:tblPrEx>
        <w:trPr>
          <w:trHeight w:val="600" w:hRule="atLeast"/>
        </w:trPr>
        <w:tc>
          <w:tcPr>
            <w:tcW w:w="13427" w:type="dxa"/>
            <w:gridSpan w:val="13"/>
            <w:tcBorders>
              <w:top w:val="nil"/>
              <w:left w:val="nil"/>
              <w:bottom w:val="nil"/>
              <w:right w:val="nil"/>
            </w:tcBorders>
            <w:shd w:val="clear" w:color="auto" w:fill="auto"/>
            <w:vAlign w:val="bottom"/>
          </w:tcPr>
          <w:p w14:paraId="66B09A32">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收入决算表</w:t>
            </w:r>
          </w:p>
        </w:tc>
      </w:tr>
      <w:tr w14:paraId="3980AEB3">
        <w:tblPrEx>
          <w:tblCellMar>
            <w:top w:w="0" w:type="dxa"/>
            <w:left w:w="108" w:type="dxa"/>
            <w:bottom w:w="0" w:type="dxa"/>
            <w:right w:w="108" w:type="dxa"/>
          </w:tblCellMar>
        </w:tblPrEx>
        <w:trPr>
          <w:trHeight w:val="300" w:hRule="atLeast"/>
        </w:trPr>
        <w:tc>
          <w:tcPr>
            <w:tcW w:w="1274" w:type="dxa"/>
            <w:gridSpan w:val="3"/>
            <w:tcBorders>
              <w:top w:val="nil"/>
              <w:left w:val="nil"/>
              <w:bottom w:val="nil"/>
              <w:right w:val="nil"/>
            </w:tcBorders>
            <w:shd w:val="clear" w:color="auto" w:fill="auto"/>
            <w:vAlign w:val="bottom"/>
          </w:tcPr>
          <w:p w14:paraId="118C42A5">
            <w:pPr>
              <w:widowControl/>
              <w:overflowPunct w:val="0"/>
              <w:autoSpaceDE w:val="0"/>
              <w:autoSpaceDN w:val="0"/>
              <w:spacing w:line="240" w:lineRule="auto"/>
              <w:jc w:val="left"/>
              <w:rPr>
                <w:rFonts w:ascii="Arial" w:hAnsi="Arial" w:eastAsia="宋体" w:cs="Arial"/>
                <w:color w:val="000000"/>
                <w:kern w:val="0"/>
                <w:sz w:val="20"/>
                <w:szCs w:val="20"/>
              </w:rPr>
            </w:pPr>
          </w:p>
        </w:tc>
        <w:tc>
          <w:tcPr>
            <w:tcW w:w="1583" w:type="dxa"/>
            <w:tcBorders>
              <w:top w:val="nil"/>
              <w:left w:val="nil"/>
              <w:bottom w:val="nil"/>
              <w:right w:val="nil"/>
            </w:tcBorders>
            <w:shd w:val="clear" w:color="auto" w:fill="auto"/>
            <w:vAlign w:val="bottom"/>
          </w:tcPr>
          <w:p w14:paraId="78669802">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14:paraId="3E6B1D51">
            <w:pPr>
              <w:widowControl/>
              <w:overflowPunct w:val="0"/>
              <w:autoSpaceDE w:val="0"/>
              <w:autoSpaceDN w:val="0"/>
              <w:spacing w:line="240" w:lineRule="auto"/>
              <w:jc w:val="left"/>
              <w:rPr>
                <w:rFonts w:ascii="Arial" w:hAnsi="Arial" w:eastAsia="宋体" w:cs="Arial"/>
                <w:color w:val="000000"/>
                <w:kern w:val="0"/>
                <w:sz w:val="20"/>
                <w:szCs w:val="20"/>
              </w:rPr>
            </w:pPr>
          </w:p>
        </w:tc>
        <w:tc>
          <w:tcPr>
            <w:tcW w:w="1008" w:type="dxa"/>
            <w:tcBorders>
              <w:top w:val="nil"/>
              <w:left w:val="nil"/>
              <w:bottom w:val="nil"/>
              <w:right w:val="nil"/>
            </w:tcBorders>
            <w:shd w:val="clear" w:color="auto" w:fill="auto"/>
            <w:vAlign w:val="bottom"/>
          </w:tcPr>
          <w:p w14:paraId="5C1F565C">
            <w:pPr>
              <w:widowControl/>
              <w:overflowPunct w:val="0"/>
              <w:autoSpaceDE w:val="0"/>
              <w:autoSpaceDN w:val="0"/>
              <w:spacing w:line="240" w:lineRule="auto"/>
              <w:jc w:val="left"/>
              <w:rPr>
                <w:rFonts w:ascii="Arial" w:hAnsi="Arial" w:eastAsia="宋体" w:cs="Arial"/>
                <w:color w:val="000000"/>
                <w:kern w:val="0"/>
                <w:sz w:val="20"/>
                <w:szCs w:val="20"/>
              </w:rPr>
            </w:pPr>
          </w:p>
        </w:tc>
        <w:tc>
          <w:tcPr>
            <w:tcW w:w="1680" w:type="dxa"/>
            <w:tcBorders>
              <w:top w:val="nil"/>
              <w:left w:val="nil"/>
              <w:bottom w:val="nil"/>
              <w:right w:val="nil"/>
            </w:tcBorders>
            <w:shd w:val="clear" w:color="auto" w:fill="auto"/>
            <w:vAlign w:val="bottom"/>
          </w:tcPr>
          <w:p w14:paraId="453CA730">
            <w:pPr>
              <w:widowControl/>
              <w:overflowPunct w:val="0"/>
              <w:autoSpaceDE w:val="0"/>
              <w:autoSpaceDN w:val="0"/>
              <w:spacing w:line="240" w:lineRule="auto"/>
              <w:jc w:val="left"/>
              <w:rPr>
                <w:rFonts w:ascii="Arial" w:hAnsi="Arial" w:eastAsia="宋体" w:cs="Arial"/>
                <w:color w:val="000000"/>
                <w:kern w:val="0"/>
                <w:sz w:val="20"/>
                <w:szCs w:val="20"/>
              </w:rPr>
            </w:pPr>
          </w:p>
        </w:tc>
        <w:tc>
          <w:tcPr>
            <w:tcW w:w="1566" w:type="dxa"/>
            <w:tcBorders>
              <w:top w:val="nil"/>
              <w:left w:val="nil"/>
              <w:bottom w:val="nil"/>
              <w:right w:val="nil"/>
            </w:tcBorders>
            <w:shd w:val="clear" w:color="auto" w:fill="auto"/>
            <w:vAlign w:val="bottom"/>
          </w:tcPr>
          <w:p w14:paraId="7E3C2D97">
            <w:pPr>
              <w:widowControl/>
              <w:overflowPunct w:val="0"/>
              <w:autoSpaceDE w:val="0"/>
              <w:autoSpaceDN w:val="0"/>
              <w:spacing w:line="240" w:lineRule="auto"/>
              <w:jc w:val="left"/>
              <w:rPr>
                <w:rFonts w:ascii="Arial" w:hAnsi="Arial" w:eastAsia="宋体" w:cs="Arial"/>
                <w:color w:val="000000"/>
                <w:kern w:val="0"/>
                <w:sz w:val="20"/>
                <w:szCs w:val="20"/>
              </w:rPr>
            </w:pPr>
          </w:p>
        </w:tc>
        <w:tc>
          <w:tcPr>
            <w:tcW w:w="1541" w:type="dxa"/>
            <w:tcBorders>
              <w:top w:val="nil"/>
              <w:left w:val="nil"/>
              <w:bottom w:val="nil"/>
              <w:right w:val="nil"/>
            </w:tcBorders>
            <w:shd w:val="clear" w:color="auto" w:fill="auto"/>
            <w:vAlign w:val="bottom"/>
          </w:tcPr>
          <w:p w14:paraId="79483E7B">
            <w:pPr>
              <w:widowControl/>
              <w:overflowPunct w:val="0"/>
              <w:autoSpaceDE w:val="0"/>
              <w:autoSpaceDN w:val="0"/>
              <w:spacing w:line="240" w:lineRule="auto"/>
              <w:jc w:val="left"/>
              <w:rPr>
                <w:rFonts w:ascii="Arial" w:hAnsi="Arial" w:eastAsia="宋体" w:cs="Arial"/>
                <w:color w:val="000000"/>
                <w:kern w:val="0"/>
                <w:sz w:val="20"/>
                <w:szCs w:val="20"/>
              </w:rPr>
            </w:pPr>
          </w:p>
        </w:tc>
        <w:tc>
          <w:tcPr>
            <w:tcW w:w="1090" w:type="dxa"/>
            <w:tcBorders>
              <w:top w:val="nil"/>
              <w:left w:val="nil"/>
              <w:bottom w:val="nil"/>
              <w:right w:val="nil"/>
            </w:tcBorders>
            <w:shd w:val="clear" w:color="auto" w:fill="auto"/>
            <w:vAlign w:val="bottom"/>
          </w:tcPr>
          <w:p w14:paraId="2A5DE9BE">
            <w:pPr>
              <w:widowControl/>
              <w:overflowPunct w:val="0"/>
              <w:autoSpaceDE w:val="0"/>
              <w:autoSpaceDN w:val="0"/>
              <w:spacing w:line="240" w:lineRule="auto"/>
              <w:jc w:val="left"/>
              <w:rPr>
                <w:rFonts w:ascii="Arial" w:hAnsi="Arial" w:eastAsia="宋体" w:cs="Arial"/>
                <w:color w:val="000000"/>
                <w:kern w:val="0"/>
                <w:sz w:val="20"/>
                <w:szCs w:val="20"/>
              </w:rPr>
            </w:pPr>
          </w:p>
        </w:tc>
        <w:tc>
          <w:tcPr>
            <w:tcW w:w="1092" w:type="dxa"/>
            <w:tcBorders>
              <w:top w:val="nil"/>
              <w:left w:val="nil"/>
              <w:bottom w:val="nil"/>
              <w:right w:val="nil"/>
            </w:tcBorders>
            <w:shd w:val="clear" w:color="auto" w:fill="auto"/>
            <w:vAlign w:val="bottom"/>
          </w:tcPr>
          <w:p w14:paraId="1FB8F1F4">
            <w:pPr>
              <w:widowControl/>
              <w:overflowPunct w:val="0"/>
              <w:autoSpaceDE w:val="0"/>
              <w:autoSpaceDN w:val="0"/>
              <w:spacing w:line="240" w:lineRule="auto"/>
              <w:jc w:val="left"/>
              <w:rPr>
                <w:rFonts w:ascii="Arial" w:hAnsi="Arial" w:eastAsia="宋体" w:cs="Arial"/>
                <w:color w:val="000000"/>
                <w:kern w:val="0"/>
                <w:sz w:val="20"/>
                <w:szCs w:val="20"/>
              </w:rPr>
            </w:pPr>
          </w:p>
        </w:tc>
        <w:tc>
          <w:tcPr>
            <w:tcW w:w="2357" w:type="dxa"/>
            <w:gridSpan w:val="2"/>
            <w:tcBorders>
              <w:top w:val="nil"/>
              <w:left w:val="nil"/>
              <w:bottom w:val="nil"/>
              <w:right w:val="nil"/>
            </w:tcBorders>
            <w:shd w:val="clear" w:color="auto" w:fill="auto"/>
            <w:vAlign w:val="bottom"/>
          </w:tcPr>
          <w:p w14:paraId="6D1ABD0A">
            <w:pPr>
              <w:widowControl/>
              <w:overflowPunct w:val="0"/>
              <w:autoSpaceDE w:val="0"/>
              <w:autoSpaceDN w:val="0"/>
              <w:spacing w:line="240" w:lineRule="auto"/>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公开02表</w:t>
            </w:r>
          </w:p>
        </w:tc>
      </w:tr>
      <w:tr w14:paraId="2042B0B9">
        <w:tblPrEx>
          <w:tblCellMar>
            <w:top w:w="0" w:type="dxa"/>
            <w:left w:w="108" w:type="dxa"/>
            <w:bottom w:w="0" w:type="dxa"/>
            <w:right w:w="108" w:type="dxa"/>
          </w:tblCellMar>
        </w:tblPrEx>
        <w:trPr>
          <w:trHeight w:val="315" w:hRule="atLeast"/>
        </w:trPr>
        <w:tc>
          <w:tcPr>
            <w:tcW w:w="9978" w:type="dxa"/>
            <w:gridSpan w:val="10"/>
            <w:tcBorders>
              <w:top w:val="nil"/>
              <w:left w:val="nil"/>
              <w:bottom w:val="single" w:color="auto" w:sz="4" w:space="0"/>
              <w:right w:val="nil"/>
            </w:tcBorders>
            <w:shd w:val="clear" w:color="auto" w:fill="auto"/>
            <w:vAlign w:val="bottom"/>
          </w:tcPr>
          <w:p w14:paraId="0AC110C6">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单位：福州市台江区保密技术检查中心</w:t>
            </w:r>
          </w:p>
        </w:tc>
        <w:tc>
          <w:tcPr>
            <w:tcW w:w="1092" w:type="dxa"/>
            <w:tcBorders>
              <w:top w:val="nil"/>
              <w:left w:val="nil"/>
              <w:bottom w:val="single" w:color="auto" w:sz="4" w:space="0"/>
              <w:right w:val="nil"/>
            </w:tcBorders>
            <w:shd w:val="clear" w:color="auto" w:fill="auto"/>
            <w:vAlign w:val="bottom"/>
          </w:tcPr>
          <w:p w14:paraId="77863317">
            <w:pPr>
              <w:widowControl/>
              <w:overflowPunct w:val="0"/>
              <w:autoSpaceDE w:val="0"/>
              <w:autoSpaceDN w:val="0"/>
              <w:spacing w:line="240" w:lineRule="auto"/>
              <w:jc w:val="left"/>
              <w:rPr>
                <w:rFonts w:ascii="Arial" w:hAnsi="Arial" w:eastAsia="宋体" w:cs="Arial"/>
                <w:color w:val="000000"/>
                <w:kern w:val="0"/>
                <w:sz w:val="20"/>
                <w:szCs w:val="20"/>
              </w:rPr>
            </w:pPr>
          </w:p>
        </w:tc>
        <w:tc>
          <w:tcPr>
            <w:tcW w:w="2357" w:type="dxa"/>
            <w:gridSpan w:val="2"/>
            <w:tcBorders>
              <w:top w:val="nil"/>
              <w:left w:val="nil"/>
              <w:bottom w:val="single" w:color="auto" w:sz="4" w:space="0"/>
              <w:right w:val="nil"/>
            </w:tcBorders>
            <w:shd w:val="clear" w:color="auto" w:fill="auto"/>
            <w:vAlign w:val="bottom"/>
          </w:tcPr>
          <w:p w14:paraId="575BC189">
            <w:pPr>
              <w:widowControl/>
              <w:overflowPunct w:val="0"/>
              <w:autoSpaceDE w:val="0"/>
              <w:autoSpaceDN w:val="0"/>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r>
              <w:rPr>
                <w:rFonts w:hint="eastAsia" w:ascii="宋体" w:hAnsi="宋体" w:eastAsia="宋体" w:cs="Arial"/>
                <w:kern w:val="0"/>
                <w:sz w:val="20"/>
                <w:szCs w:val="20"/>
              </w:rPr>
              <w:t>万元</w:t>
            </w:r>
          </w:p>
        </w:tc>
      </w:tr>
      <w:tr w14:paraId="63B49F8B">
        <w:tblPrEx>
          <w:tblCellMar>
            <w:top w:w="0" w:type="dxa"/>
            <w:left w:w="108" w:type="dxa"/>
            <w:bottom w:w="0" w:type="dxa"/>
            <w:right w:w="108" w:type="dxa"/>
          </w:tblCellMar>
        </w:tblPrEx>
        <w:trPr>
          <w:trHeight w:val="306" w:hRule="atLeast"/>
        </w:trPr>
        <w:tc>
          <w:tcPr>
            <w:tcW w:w="41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51B63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0F7F2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本年收入合计</w:t>
            </w:r>
          </w:p>
        </w:tc>
        <w:tc>
          <w:tcPr>
            <w:tcW w:w="1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DD3EE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564D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上级补助收入</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92E8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事业收入</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CAB9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经营收入</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2A4BE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附属单位上缴收入</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39D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其他收入</w:t>
            </w:r>
          </w:p>
        </w:tc>
      </w:tr>
      <w:tr w14:paraId="5E9DFDAE">
        <w:tblPrEx>
          <w:tblCellMar>
            <w:top w:w="0" w:type="dxa"/>
            <w:left w:w="108" w:type="dxa"/>
            <w:bottom w:w="0" w:type="dxa"/>
            <w:right w:w="108" w:type="dxa"/>
          </w:tblCellMar>
        </w:tblPrEx>
        <w:trPr>
          <w:trHeight w:val="312" w:hRule="atLeast"/>
        </w:trPr>
        <w:tc>
          <w:tcPr>
            <w:tcW w:w="127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E2C3D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282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F324B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0D027632">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2FF79445">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3D1185B0">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3407928B">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41E7726B">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E385DDD">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1B2E3B66">
            <w:pPr>
              <w:widowControl/>
              <w:overflowPunct w:val="0"/>
              <w:autoSpaceDE w:val="0"/>
              <w:autoSpaceDN w:val="0"/>
              <w:spacing w:line="240" w:lineRule="auto"/>
              <w:jc w:val="left"/>
              <w:rPr>
                <w:rFonts w:ascii="宋体" w:hAnsi="宋体" w:eastAsia="宋体" w:cs="Arial"/>
                <w:color w:val="000000"/>
                <w:kern w:val="0"/>
                <w:szCs w:val="21"/>
              </w:rPr>
            </w:pPr>
          </w:p>
        </w:tc>
      </w:tr>
      <w:tr w14:paraId="0216A1FF">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14:paraId="013D1FA6">
            <w:pPr>
              <w:widowControl/>
              <w:overflowPunct w:val="0"/>
              <w:autoSpaceDE w:val="0"/>
              <w:autoSpaceDN w:val="0"/>
              <w:spacing w:line="240" w:lineRule="auto"/>
              <w:jc w:val="left"/>
              <w:rPr>
                <w:rFonts w:ascii="宋体" w:hAnsi="宋体" w:eastAsia="宋体" w:cs="Arial"/>
                <w:color w:val="000000"/>
                <w:kern w:val="0"/>
                <w:szCs w:val="21"/>
              </w:rPr>
            </w:pPr>
          </w:p>
        </w:tc>
        <w:tc>
          <w:tcPr>
            <w:tcW w:w="2827" w:type="dxa"/>
            <w:gridSpan w:val="3"/>
            <w:vMerge w:val="continue"/>
            <w:tcBorders>
              <w:top w:val="single" w:color="auto" w:sz="4" w:space="0"/>
              <w:left w:val="single" w:color="auto" w:sz="4" w:space="0"/>
              <w:bottom w:val="single" w:color="auto" w:sz="4" w:space="0"/>
              <w:right w:val="single" w:color="auto" w:sz="4" w:space="0"/>
            </w:tcBorders>
            <w:vAlign w:val="center"/>
          </w:tcPr>
          <w:p w14:paraId="34EE4EB6">
            <w:pPr>
              <w:widowControl/>
              <w:overflowPunct w:val="0"/>
              <w:autoSpaceDE w:val="0"/>
              <w:autoSpaceDN w:val="0"/>
              <w:spacing w:line="240" w:lineRule="auto"/>
              <w:jc w:val="left"/>
              <w:rPr>
                <w:rFonts w:ascii="宋体" w:hAnsi="宋体" w:eastAsia="宋体" w:cs="Arial"/>
                <w:color w:val="000000"/>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8353843">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26BF8346">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61065F9B">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6C07C330">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7DD9AF42">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E7665E9">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2F0373A7">
            <w:pPr>
              <w:widowControl/>
              <w:overflowPunct w:val="0"/>
              <w:autoSpaceDE w:val="0"/>
              <w:autoSpaceDN w:val="0"/>
              <w:spacing w:line="240" w:lineRule="auto"/>
              <w:jc w:val="left"/>
              <w:rPr>
                <w:rFonts w:ascii="宋体" w:hAnsi="宋体" w:eastAsia="宋体" w:cs="Arial"/>
                <w:color w:val="000000"/>
                <w:kern w:val="0"/>
                <w:szCs w:val="21"/>
              </w:rPr>
            </w:pPr>
          </w:p>
        </w:tc>
      </w:tr>
      <w:tr w14:paraId="46E64E55">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14:paraId="0EAF3B1F">
            <w:pPr>
              <w:widowControl/>
              <w:overflowPunct w:val="0"/>
              <w:autoSpaceDE w:val="0"/>
              <w:autoSpaceDN w:val="0"/>
              <w:spacing w:line="240" w:lineRule="auto"/>
              <w:jc w:val="left"/>
              <w:rPr>
                <w:rFonts w:ascii="宋体" w:hAnsi="宋体" w:eastAsia="宋体" w:cs="Arial"/>
                <w:color w:val="000000"/>
                <w:kern w:val="0"/>
                <w:szCs w:val="21"/>
              </w:rPr>
            </w:pPr>
          </w:p>
        </w:tc>
        <w:tc>
          <w:tcPr>
            <w:tcW w:w="2827" w:type="dxa"/>
            <w:gridSpan w:val="3"/>
            <w:vMerge w:val="continue"/>
            <w:tcBorders>
              <w:top w:val="single" w:color="auto" w:sz="4" w:space="0"/>
              <w:left w:val="single" w:color="auto" w:sz="4" w:space="0"/>
              <w:bottom w:val="single" w:color="auto" w:sz="4" w:space="0"/>
              <w:right w:val="single" w:color="auto" w:sz="4" w:space="0"/>
            </w:tcBorders>
            <w:vAlign w:val="center"/>
          </w:tcPr>
          <w:p w14:paraId="5393EE9C">
            <w:pPr>
              <w:widowControl/>
              <w:overflowPunct w:val="0"/>
              <w:autoSpaceDE w:val="0"/>
              <w:autoSpaceDN w:val="0"/>
              <w:spacing w:line="240" w:lineRule="auto"/>
              <w:jc w:val="left"/>
              <w:rPr>
                <w:rFonts w:ascii="宋体" w:hAnsi="宋体" w:eastAsia="宋体" w:cs="Arial"/>
                <w:color w:val="000000"/>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3292E308">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28D21CE4">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2CCE07D8">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A5C03C5">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020F1075">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34D1289">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00E187E1">
            <w:pPr>
              <w:widowControl/>
              <w:overflowPunct w:val="0"/>
              <w:autoSpaceDE w:val="0"/>
              <w:autoSpaceDN w:val="0"/>
              <w:spacing w:line="240" w:lineRule="auto"/>
              <w:jc w:val="left"/>
              <w:rPr>
                <w:rFonts w:ascii="宋体" w:hAnsi="宋体" w:eastAsia="宋体" w:cs="Arial"/>
                <w:color w:val="000000"/>
                <w:kern w:val="0"/>
                <w:szCs w:val="21"/>
              </w:rPr>
            </w:pPr>
          </w:p>
        </w:tc>
      </w:tr>
      <w:tr w14:paraId="6FF3A91F">
        <w:tblPrEx>
          <w:tblCellMar>
            <w:top w:w="0" w:type="dxa"/>
            <w:left w:w="108" w:type="dxa"/>
            <w:bottom w:w="0" w:type="dxa"/>
            <w:right w:w="108" w:type="dxa"/>
          </w:tblCellMar>
        </w:tblPrEx>
        <w:trPr>
          <w:trHeight w:val="308" w:hRule="atLeast"/>
        </w:trPr>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A44ECB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65968E9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423" w:type="dxa"/>
            <w:tcBorders>
              <w:top w:val="single" w:color="auto" w:sz="4" w:space="0"/>
              <w:left w:val="single" w:color="auto" w:sz="4" w:space="0"/>
              <w:bottom w:val="single" w:color="auto" w:sz="4" w:space="0"/>
              <w:right w:val="single" w:color="auto" w:sz="4" w:space="0"/>
            </w:tcBorders>
            <w:shd w:val="clear" w:color="auto" w:fill="auto"/>
            <w:vAlign w:val="center"/>
          </w:tcPr>
          <w:p w14:paraId="3313EE9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306BA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859921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140.21</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6BAEDFC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140.21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E86D88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BBC9E9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39AFA4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A6A49C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10EF4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14:paraId="5CE7D05E">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FD2FB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95BC4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1E29A8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89C472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EC8321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AD49A5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965CF4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6F6D2D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099051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257C851">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FCD07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89125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F1E15D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9B6368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F56CF8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48C3E80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D9A90F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EBEAE2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EEBBD2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863C029">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87243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BCF88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一般行政管理事务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50D099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234C92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01FAB01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6A80C6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66E7F3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6B70AC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9651B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631CF77">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5F276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2013150</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DA143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事业运行</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045F3E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FCFFE9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05F872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6B936E5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B82F0C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7BB168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39B92E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B8CCA3B">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80CC9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D8D30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8252D6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19.33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042B2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19.33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0D81EAC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340A868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0853F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DC39F8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2E50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7296AA7">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9907B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F48C6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F2C40C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54F9EDA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6E4F0F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61E1DBC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844C35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F86AFD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AE887D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D30BE19">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7F7A9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C8090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9BD0F3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224B06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619454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C61142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942BF3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696D31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41633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39FF1EE">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2B960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8C9AB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AEB735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6.62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99DA41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6.62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1E4B92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694FAB0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E58277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FDF9C9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33A83D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290C95F">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11081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A0B41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F11B6D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B8580A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C7BE8B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CB6B5D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126171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467E2C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D88AC1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473D8D5">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AE343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2B12A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D3E93B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702E6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6380E6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CD004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9137EF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33497F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C4D8B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BF329CB">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E761A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EF252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FA7792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5E8A3C5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313D1A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74D4FB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0D4ED9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637A24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B0B8F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D79DC85">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520C8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898D5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747813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5EBBEE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6691AE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48DF42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03BA3B7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F47557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BD7C6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E5CB0CB">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EA566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E1736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BA0A11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3.96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68B7BE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3.96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317F7C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A1642D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CF5E98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4A06AA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AC1B59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4085ACD">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1EFDC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DD6F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DA5838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3.18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C5F6CC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3.18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5B63C0E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5A05D6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EB6E9F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9536F3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0BEB83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7E3DCC5">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0E27C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2195B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76710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33B524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048CFAA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379E33C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696EA4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54CDD3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8D08B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45EE9D9">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D4C20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3E3FA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3F6806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1045A9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DD13F2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154557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5A6E2E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D80FC4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9A6CC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DFFF8FB">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52C8E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C4FAF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9A7442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10.85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2CFB9B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10.85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E1F124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720342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2420A5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E7B17F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571C0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04E4CD4">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20D0C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811A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7E2014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2.00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A141DA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2.00</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3A4F0E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030E459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131376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2FE6E1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7C124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34F2044">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455E6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F807C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D56D10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11.32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512C81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11.32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BEDA99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1E83E79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03D4BD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5DC888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1AB4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14:paraId="40B36BE0">
      <w:pPr>
        <w:widowControl/>
        <w:overflowPunct w:val="0"/>
        <w:autoSpaceDE w:val="0"/>
        <w:autoSpaceDN w:val="0"/>
        <w:spacing w:line="240" w:lineRule="auto"/>
        <w:jc w:val="left"/>
        <w:rPr>
          <w:rFonts w:ascii="黑体" w:hAnsi="仿宋" w:eastAsia="黑体"/>
          <w:sz w:val="32"/>
          <w:szCs w:val="32"/>
        </w:rPr>
      </w:pPr>
      <w:r>
        <w:rPr>
          <w:rFonts w:hint="eastAsia" w:ascii="宋体" w:hAnsi="宋体" w:eastAsia="宋体" w:cs="宋体"/>
          <w:sz w:val="24"/>
          <w:szCs w:val="24"/>
        </w:rPr>
        <w:t>注：本表反映单位本年度取得的各项收入情况。</w:t>
      </w:r>
      <w:r>
        <w:br w:type="page"/>
      </w:r>
    </w:p>
    <w:p w14:paraId="5D9140F3">
      <w:pPr>
        <w:overflowPunct w:val="0"/>
        <w:autoSpaceDE w:val="0"/>
        <w:autoSpaceDN w:val="0"/>
        <w:jc w:val="left"/>
        <w:outlineLvl w:val="1"/>
        <w:rPr>
          <w:rFonts w:ascii="黑体" w:hAnsi="仿宋" w:eastAsia="黑体"/>
          <w:sz w:val="32"/>
          <w:szCs w:val="32"/>
        </w:rPr>
      </w:pPr>
      <w:bookmarkStart w:id="10" w:name="_Toc256000009"/>
      <w:r>
        <w:rPr>
          <w:rFonts w:hint="eastAsia" w:ascii="黑体" w:hAnsi="仿宋" w:eastAsia="黑体"/>
          <w:sz w:val="32"/>
          <w:szCs w:val="32"/>
        </w:rPr>
        <w:t>三、支出决算表</w:t>
      </w:r>
      <w:bookmarkEnd w:id="10"/>
    </w:p>
    <w:tbl>
      <w:tblPr>
        <w:tblStyle w:val="11"/>
        <w:tblW w:w="13522" w:type="dxa"/>
        <w:tblInd w:w="0" w:type="dxa"/>
        <w:tblLayout w:type="fixed"/>
        <w:tblCellMar>
          <w:top w:w="0" w:type="dxa"/>
          <w:left w:w="108" w:type="dxa"/>
          <w:bottom w:w="0" w:type="dxa"/>
          <w:right w:w="108" w:type="dxa"/>
        </w:tblCellMar>
      </w:tblPr>
      <w:tblGrid>
        <w:gridCol w:w="538"/>
        <w:gridCol w:w="450"/>
        <w:gridCol w:w="159"/>
        <w:gridCol w:w="77"/>
        <w:gridCol w:w="236"/>
        <w:gridCol w:w="341"/>
        <w:gridCol w:w="2435"/>
        <w:gridCol w:w="658"/>
        <w:gridCol w:w="612"/>
        <w:gridCol w:w="1531"/>
        <w:gridCol w:w="236"/>
        <w:gridCol w:w="736"/>
        <w:gridCol w:w="228"/>
        <w:gridCol w:w="428"/>
        <w:gridCol w:w="677"/>
        <w:gridCol w:w="1485"/>
        <w:gridCol w:w="1128"/>
        <w:gridCol w:w="1567"/>
      </w:tblGrid>
      <w:tr w14:paraId="3AAAC627">
        <w:tblPrEx>
          <w:tblCellMar>
            <w:top w:w="0" w:type="dxa"/>
            <w:left w:w="108" w:type="dxa"/>
            <w:bottom w:w="0" w:type="dxa"/>
            <w:right w:w="108" w:type="dxa"/>
          </w:tblCellMar>
        </w:tblPrEx>
        <w:trPr>
          <w:trHeight w:val="495" w:hRule="atLeast"/>
        </w:trPr>
        <w:tc>
          <w:tcPr>
            <w:tcW w:w="13522" w:type="dxa"/>
            <w:gridSpan w:val="18"/>
            <w:tcBorders>
              <w:top w:val="nil"/>
              <w:left w:val="nil"/>
              <w:bottom w:val="nil"/>
              <w:right w:val="nil"/>
            </w:tcBorders>
            <w:shd w:val="clear" w:color="auto" w:fill="auto"/>
            <w:vAlign w:val="bottom"/>
          </w:tcPr>
          <w:p w14:paraId="447E1674">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支出决算表</w:t>
            </w:r>
          </w:p>
        </w:tc>
      </w:tr>
      <w:tr w14:paraId="0388FBBC">
        <w:tblPrEx>
          <w:tblCellMar>
            <w:top w:w="0" w:type="dxa"/>
            <w:left w:w="108" w:type="dxa"/>
            <w:bottom w:w="0" w:type="dxa"/>
            <w:right w:w="108" w:type="dxa"/>
          </w:tblCellMar>
        </w:tblPrEx>
        <w:trPr>
          <w:trHeight w:val="300" w:hRule="atLeast"/>
        </w:trPr>
        <w:tc>
          <w:tcPr>
            <w:tcW w:w="988" w:type="dxa"/>
            <w:gridSpan w:val="2"/>
            <w:tcBorders>
              <w:top w:val="nil"/>
              <w:left w:val="nil"/>
              <w:bottom w:val="nil"/>
              <w:right w:val="nil"/>
            </w:tcBorders>
            <w:shd w:val="clear" w:color="auto" w:fill="auto"/>
            <w:vAlign w:val="bottom"/>
          </w:tcPr>
          <w:p w14:paraId="0C421C4F">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gridSpan w:val="2"/>
            <w:tcBorders>
              <w:top w:val="nil"/>
              <w:left w:val="nil"/>
              <w:bottom w:val="nil"/>
              <w:right w:val="nil"/>
            </w:tcBorders>
            <w:shd w:val="clear" w:color="auto" w:fill="auto"/>
            <w:vAlign w:val="bottom"/>
          </w:tcPr>
          <w:p w14:paraId="32C1753D">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14:paraId="36F06B9D">
            <w:pPr>
              <w:widowControl/>
              <w:overflowPunct w:val="0"/>
              <w:autoSpaceDE w:val="0"/>
              <w:autoSpaceDN w:val="0"/>
              <w:spacing w:line="240" w:lineRule="auto"/>
              <w:jc w:val="left"/>
              <w:rPr>
                <w:rFonts w:ascii="Arial" w:hAnsi="Arial" w:eastAsia="宋体" w:cs="Arial"/>
                <w:color w:val="000000"/>
                <w:kern w:val="0"/>
                <w:sz w:val="20"/>
                <w:szCs w:val="20"/>
              </w:rPr>
            </w:pPr>
          </w:p>
        </w:tc>
        <w:tc>
          <w:tcPr>
            <w:tcW w:w="4046" w:type="dxa"/>
            <w:gridSpan w:val="4"/>
            <w:tcBorders>
              <w:top w:val="nil"/>
              <w:left w:val="nil"/>
              <w:bottom w:val="nil"/>
              <w:right w:val="nil"/>
            </w:tcBorders>
            <w:shd w:val="clear" w:color="auto" w:fill="auto"/>
            <w:vAlign w:val="bottom"/>
          </w:tcPr>
          <w:p w14:paraId="4C4E2A3F">
            <w:pPr>
              <w:widowControl/>
              <w:overflowPunct w:val="0"/>
              <w:autoSpaceDE w:val="0"/>
              <w:autoSpaceDN w:val="0"/>
              <w:spacing w:line="240" w:lineRule="auto"/>
              <w:jc w:val="left"/>
              <w:rPr>
                <w:rFonts w:ascii="Arial" w:hAnsi="Arial" w:eastAsia="宋体" w:cs="Arial"/>
                <w:color w:val="000000"/>
                <w:kern w:val="0"/>
                <w:sz w:val="20"/>
                <w:szCs w:val="20"/>
              </w:rPr>
            </w:pPr>
          </w:p>
        </w:tc>
        <w:tc>
          <w:tcPr>
            <w:tcW w:w="1531" w:type="dxa"/>
            <w:tcBorders>
              <w:top w:val="nil"/>
              <w:left w:val="nil"/>
              <w:bottom w:val="nil"/>
              <w:right w:val="nil"/>
            </w:tcBorders>
            <w:shd w:val="clear" w:color="auto" w:fill="auto"/>
            <w:vAlign w:val="bottom"/>
          </w:tcPr>
          <w:p w14:paraId="506EABE0">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14:paraId="5F1B7765">
            <w:pPr>
              <w:widowControl/>
              <w:overflowPunct w:val="0"/>
              <w:autoSpaceDE w:val="0"/>
              <w:autoSpaceDN w:val="0"/>
              <w:spacing w:line="240" w:lineRule="auto"/>
              <w:jc w:val="left"/>
              <w:rPr>
                <w:rFonts w:ascii="Arial" w:hAnsi="Arial" w:eastAsia="宋体" w:cs="Arial"/>
                <w:color w:val="000000"/>
                <w:kern w:val="0"/>
                <w:sz w:val="20"/>
                <w:szCs w:val="20"/>
              </w:rPr>
            </w:pPr>
          </w:p>
        </w:tc>
        <w:tc>
          <w:tcPr>
            <w:tcW w:w="736" w:type="dxa"/>
            <w:tcBorders>
              <w:top w:val="nil"/>
              <w:left w:val="nil"/>
              <w:bottom w:val="nil"/>
              <w:right w:val="nil"/>
            </w:tcBorders>
            <w:shd w:val="clear" w:color="auto" w:fill="auto"/>
            <w:vAlign w:val="bottom"/>
          </w:tcPr>
          <w:p w14:paraId="50AE0E5E">
            <w:pPr>
              <w:widowControl/>
              <w:overflowPunct w:val="0"/>
              <w:autoSpaceDE w:val="0"/>
              <w:autoSpaceDN w:val="0"/>
              <w:spacing w:line="240" w:lineRule="auto"/>
              <w:jc w:val="left"/>
              <w:rPr>
                <w:rFonts w:ascii="Arial" w:hAnsi="Arial" w:eastAsia="宋体" w:cs="Arial"/>
                <w:color w:val="000000"/>
                <w:kern w:val="0"/>
                <w:sz w:val="20"/>
                <w:szCs w:val="20"/>
              </w:rPr>
            </w:pPr>
          </w:p>
        </w:tc>
        <w:tc>
          <w:tcPr>
            <w:tcW w:w="656" w:type="dxa"/>
            <w:gridSpan w:val="2"/>
            <w:tcBorders>
              <w:top w:val="nil"/>
              <w:left w:val="nil"/>
              <w:bottom w:val="nil"/>
              <w:right w:val="nil"/>
            </w:tcBorders>
            <w:shd w:val="clear" w:color="auto" w:fill="auto"/>
            <w:vAlign w:val="bottom"/>
          </w:tcPr>
          <w:p w14:paraId="307CE3A6">
            <w:pPr>
              <w:widowControl/>
              <w:overflowPunct w:val="0"/>
              <w:autoSpaceDE w:val="0"/>
              <w:autoSpaceDN w:val="0"/>
              <w:spacing w:line="240" w:lineRule="auto"/>
              <w:jc w:val="left"/>
              <w:rPr>
                <w:rFonts w:ascii="Arial" w:hAnsi="Arial" w:eastAsia="宋体" w:cs="Arial"/>
                <w:color w:val="000000"/>
                <w:kern w:val="0"/>
                <w:sz w:val="20"/>
                <w:szCs w:val="20"/>
              </w:rPr>
            </w:pPr>
          </w:p>
        </w:tc>
        <w:tc>
          <w:tcPr>
            <w:tcW w:w="4857" w:type="dxa"/>
            <w:gridSpan w:val="4"/>
            <w:tcBorders>
              <w:top w:val="nil"/>
              <w:left w:val="nil"/>
              <w:bottom w:val="nil"/>
              <w:right w:val="nil"/>
            </w:tcBorders>
            <w:shd w:val="clear" w:color="auto" w:fill="auto"/>
            <w:vAlign w:val="bottom"/>
          </w:tcPr>
          <w:p w14:paraId="0C77437B">
            <w:pPr>
              <w:widowControl/>
              <w:overflowPunct w:val="0"/>
              <w:autoSpaceDE w:val="0"/>
              <w:autoSpaceDN w:val="0"/>
              <w:spacing w:line="240" w:lineRule="auto"/>
              <w:ind w:firstLine="1500" w:firstLineChars="75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r>
      <w:tr w14:paraId="6542ED12">
        <w:tblPrEx>
          <w:tblCellMar>
            <w:top w:w="0" w:type="dxa"/>
            <w:left w:w="108" w:type="dxa"/>
            <w:bottom w:w="0" w:type="dxa"/>
            <w:right w:w="108" w:type="dxa"/>
          </w:tblCellMar>
        </w:tblPrEx>
        <w:trPr>
          <w:trHeight w:val="315" w:hRule="atLeast"/>
        </w:trPr>
        <w:tc>
          <w:tcPr>
            <w:tcW w:w="4236" w:type="dxa"/>
            <w:gridSpan w:val="7"/>
            <w:tcBorders>
              <w:top w:val="nil"/>
              <w:left w:val="nil"/>
              <w:bottom w:val="single" w:color="auto" w:sz="4" w:space="0"/>
              <w:right w:val="nil"/>
            </w:tcBorders>
            <w:shd w:val="clear" w:color="auto" w:fill="auto"/>
            <w:vAlign w:val="bottom"/>
          </w:tcPr>
          <w:p w14:paraId="1B0B1016">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单位：福州市台江区保密技术检查中心</w:t>
            </w:r>
          </w:p>
        </w:tc>
        <w:tc>
          <w:tcPr>
            <w:tcW w:w="658" w:type="dxa"/>
            <w:tcBorders>
              <w:top w:val="nil"/>
              <w:left w:val="nil"/>
              <w:bottom w:val="single" w:color="auto" w:sz="4" w:space="0"/>
              <w:right w:val="nil"/>
            </w:tcBorders>
            <w:shd w:val="clear" w:color="auto" w:fill="auto"/>
            <w:vAlign w:val="bottom"/>
          </w:tcPr>
          <w:p w14:paraId="293A2D90">
            <w:pPr>
              <w:widowControl/>
              <w:overflowPunct w:val="0"/>
              <w:autoSpaceDE w:val="0"/>
              <w:autoSpaceDN w:val="0"/>
              <w:spacing w:line="240" w:lineRule="auto"/>
              <w:jc w:val="left"/>
              <w:rPr>
                <w:rFonts w:ascii="Arial" w:hAnsi="Arial" w:eastAsia="宋体" w:cs="Arial"/>
                <w:color w:val="000000"/>
                <w:kern w:val="0"/>
                <w:sz w:val="20"/>
                <w:szCs w:val="20"/>
              </w:rPr>
            </w:pPr>
          </w:p>
        </w:tc>
        <w:tc>
          <w:tcPr>
            <w:tcW w:w="8628" w:type="dxa"/>
            <w:gridSpan w:val="10"/>
            <w:tcBorders>
              <w:top w:val="nil"/>
              <w:left w:val="nil"/>
              <w:bottom w:val="single" w:color="auto" w:sz="4" w:space="0"/>
              <w:right w:val="nil"/>
            </w:tcBorders>
            <w:shd w:val="clear" w:color="auto" w:fill="auto"/>
            <w:vAlign w:val="bottom"/>
          </w:tcPr>
          <w:p w14:paraId="652B0E17">
            <w:pPr>
              <w:widowControl/>
              <w:overflowPunct w:val="0"/>
              <w:autoSpaceDE w:val="0"/>
              <w:autoSpaceDN w:val="0"/>
              <w:spacing w:line="240" w:lineRule="auto"/>
              <w:ind w:right="79"/>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64FF6D13">
        <w:tblPrEx>
          <w:tblCellMar>
            <w:top w:w="0" w:type="dxa"/>
            <w:left w:w="108" w:type="dxa"/>
            <w:bottom w:w="0" w:type="dxa"/>
            <w:right w:w="108" w:type="dxa"/>
          </w:tblCellMar>
        </w:tblPrEx>
        <w:trPr>
          <w:trHeight w:val="308" w:hRule="atLeast"/>
        </w:trPr>
        <w:tc>
          <w:tcPr>
            <w:tcW w:w="55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E4ABC6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24F6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本年支出合计</w:t>
            </w:r>
          </w:p>
        </w:tc>
        <w:tc>
          <w:tcPr>
            <w:tcW w:w="12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C3A6B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1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D067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F582B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上缴上级支出</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12AA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经营支出</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4A43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对附属单位补助支出</w:t>
            </w:r>
          </w:p>
        </w:tc>
      </w:tr>
      <w:tr w14:paraId="7E57B2F3">
        <w:tblPrEx>
          <w:tblCellMar>
            <w:top w:w="0" w:type="dxa"/>
            <w:left w:w="108" w:type="dxa"/>
            <w:bottom w:w="0" w:type="dxa"/>
            <w:right w:w="108" w:type="dxa"/>
          </w:tblCellMar>
        </w:tblPrEx>
        <w:trPr>
          <w:trHeight w:val="976"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0909B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CE7D5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32DD2505">
            <w:pPr>
              <w:widowControl/>
              <w:overflowPunct w:val="0"/>
              <w:autoSpaceDE w:val="0"/>
              <w:autoSpaceDN w:val="0"/>
              <w:spacing w:line="240" w:lineRule="auto"/>
              <w:jc w:val="center"/>
              <w:rPr>
                <w:rFonts w:ascii="宋体" w:hAnsi="宋体" w:eastAsia="宋体" w:cs="Arial"/>
                <w:color w:val="000000"/>
                <w:kern w:val="0"/>
                <w:szCs w:val="21"/>
              </w:rPr>
            </w:pPr>
          </w:p>
        </w:tc>
        <w:tc>
          <w:tcPr>
            <w:tcW w:w="1200" w:type="dxa"/>
            <w:gridSpan w:val="3"/>
            <w:vMerge w:val="continue"/>
            <w:tcBorders>
              <w:top w:val="single" w:color="auto" w:sz="4" w:space="0"/>
              <w:left w:val="single" w:color="auto" w:sz="4" w:space="0"/>
              <w:bottom w:val="single" w:color="auto" w:sz="4" w:space="0"/>
              <w:right w:val="single" w:color="auto" w:sz="4" w:space="0"/>
            </w:tcBorders>
            <w:vAlign w:val="center"/>
          </w:tcPr>
          <w:p w14:paraId="26866711">
            <w:pPr>
              <w:widowControl/>
              <w:overflowPunct w:val="0"/>
              <w:autoSpaceDE w:val="0"/>
              <w:autoSpaceDN w:val="0"/>
              <w:spacing w:line="240" w:lineRule="auto"/>
              <w:jc w:val="center"/>
              <w:rPr>
                <w:rFonts w:ascii="宋体" w:hAnsi="宋体" w:eastAsia="宋体" w:cs="Arial"/>
                <w:color w:val="000000"/>
                <w:kern w:val="0"/>
                <w:szCs w:val="21"/>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14:paraId="30C236D0">
            <w:pPr>
              <w:widowControl/>
              <w:overflowPunct w:val="0"/>
              <w:autoSpaceDE w:val="0"/>
              <w:autoSpaceDN w:val="0"/>
              <w:spacing w:line="240" w:lineRule="auto"/>
              <w:jc w:val="center"/>
              <w:rPr>
                <w:rFonts w:ascii="宋体" w:hAnsi="宋体" w:eastAsia="宋体" w:cs="Arial"/>
                <w:color w:val="000000"/>
                <w:kern w:val="0"/>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4C8281AB">
            <w:pPr>
              <w:widowControl/>
              <w:overflowPunct w:val="0"/>
              <w:autoSpaceDE w:val="0"/>
              <w:autoSpaceDN w:val="0"/>
              <w:spacing w:line="240" w:lineRule="auto"/>
              <w:jc w:val="center"/>
              <w:rPr>
                <w:rFonts w:ascii="宋体" w:hAnsi="宋体" w:eastAsia="宋体" w:cs="Arial"/>
                <w:color w:val="000000"/>
                <w:kern w:val="0"/>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14:paraId="3F407BBE">
            <w:pPr>
              <w:widowControl/>
              <w:overflowPunct w:val="0"/>
              <w:autoSpaceDE w:val="0"/>
              <w:autoSpaceDN w:val="0"/>
              <w:spacing w:line="240" w:lineRule="auto"/>
              <w:jc w:val="center"/>
              <w:rPr>
                <w:rFonts w:ascii="宋体" w:hAnsi="宋体" w:eastAsia="宋体" w:cs="Arial"/>
                <w:color w:val="000000"/>
                <w:kern w:val="0"/>
                <w:szCs w:val="21"/>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3BC42929">
            <w:pPr>
              <w:widowControl/>
              <w:overflowPunct w:val="0"/>
              <w:autoSpaceDE w:val="0"/>
              <w:autoSpaceDN w:val="0"/>
              <w:spacing w:line="240" w:lineRule="auto"/>
              <w:jc w:val="center"/>
              <w:rPr>
                <w:rFonts w:ascii="宋体" w:hAnsi="宋体" w:eastAsia="宋体" w:cs="Arial"/>
                <w:color w:val="000000"/>
                <w:kern w:val="0"/>
                <w:szCs w:val="21"/>
              </w:rPr>
            </w:pPr>
          </w:p>
        </w:tc>
      </w:tr>
      <w:tr w14:paraId="74DEDBAB">
        <w:tblPrEx>
          <w:tblCellMar>
            <w:top w:w="0" w:type="dxa"/>
            <w:left w:w="108" w:type="dxa"/>
            <w:bottom w:w="0" w:type="dxa"/>
            <w:right w:w="108" w:type="dxa"/>
          </w:tblCellMar>
        </w:tblPrEx>
        <w:trPr>
          <w:trHeight w:val="308" w:hRule="atLeast"/>
        </w:trPr>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BC2DE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DF57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6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52AB3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1BEBE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1E63CC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140.21</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23F2D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137.42</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07777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2.79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7D0711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69401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2DBFA0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14:paraId="15751302">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BE989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6B547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2DB79F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DF927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D9E5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B60DCE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6089D6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ED952E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DF5CB25">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D08A3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E89AC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D92F3D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4D206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4F62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4E5AB5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3BB749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547FFA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B473BEC">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AA948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073D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一般行政管理事务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3D584D4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D3307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DAF4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501AF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159E9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B091FD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67C627D">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D3CC72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2013150</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27BA3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事业运行</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C5C96B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7BA2B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D8B3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66FBF4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5DDF33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82AE4E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09198B2">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3999A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2AA35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D84CF6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19.33</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664D0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19.33</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B901D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865796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F999B0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3DC8D1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9132BFD">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54624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57AEA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3956A9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BE415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CF4B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15071A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0FDAD6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8641E4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4E14954">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3FFA8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D450B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1639BCD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12.66</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6B470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05193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63380E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BF05FA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1EF32D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104B826">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2487D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11A70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9DAF58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6.62</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2DE44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6.62</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7AAE7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7D00B9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8DC492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A32B63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70313F5">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ED86B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0799C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592FE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36C84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9E126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1FF338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089B8A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914C76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34B9AD1">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826D1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46E6A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59F568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F385D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5E075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4BF142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CDB973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0E879E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D3AAEE8">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619D0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E3067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1975FEA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E67BF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4D9A4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074886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2C9923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FA0377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525600A">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24AA9A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1A6A9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11D5EB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4A4F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06B8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677878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A26CB6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D19B41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CE69CBE">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D01B96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D8CAA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事业单位医疗</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5D6285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3.96</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D93F1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3.96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462F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CCFC21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69C0B2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85303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F062168">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7D050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D35F6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282D3F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3.18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F2074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3.18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951E1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80FE0F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E1E704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898D97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EC7BD53">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B4F5A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7B857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4C0433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3F0D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87BA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EDE8FB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8F02F8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AE0425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5E5CC49">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D6ED2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0E808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DDE0C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474BA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6440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E1BB5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DBCBA9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4DC76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C87C058">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A42C4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47128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F7C510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10.85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0BAF8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10.85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6C863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710E13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3703A6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C2F99A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D3B4CC6">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6C0E9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970E4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96AC3A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2.00</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4FA2C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2.00</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2C55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6B3AB9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BB5E17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717A55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A5E3B50">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072FC6">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AB7492">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3519FE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11.32</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F9BE6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11.32</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3B023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61F4DE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BACBB1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E2B0D5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14:paraId="79EFB60D">
      <w:pPr>
        <w:widowControl/>
        <w:overflowPunct w:val="0"/>
        <w:autoSpaceDE w:val="0"/>
        <w:autoSpaceDN w:val="0"/>
        <w:spacing w:line="240" w:lineRule="auto"/>
        <w:jc w:val="left"/>
        <w:rPr>
          <w:rFonts w:ascii="黑体" w:hAnsi="仿宋" w:eastAsia="黑体"/>
          <w:sz w:val="32"/>
          <w:szCs w:val="32"/>
        </w:rPr>
      </w:pPr>
      <w:r>
        <w:rPr>
          <w:rFonts w:hint="eastAsia" w:ascii="宋体" w:hAnsi="宋体" w:eastAsia="宋体" w:cs="宋体"/>
          <w:sz w:val="24"/>
          <w:szCs w:val="24"/>
        </w:rPr>
        <w:t>注：本表反映单位本年度各项支出情况。</w:t>
      </w:r>
      <w:r>
        <w:br w:type="page"/>
      </w:r>
    </w:p>
    <w:p w14:paraId="43B5F253">
      <w:pPr>
        <w:overflowPunct w:val="0"/>
        <w:autoSpaceDE w:val="0"/>
        <w:autoSpaceDN w:val="0"/>
        <w:jc w:val="left"/>
        <w:outlineLvl w:val="1"/>
        <w:rPr>
          <w:rFonts w:ascii="黑体" w:hAnsi="仿宋" w:eastAsia="黑体"/>
          <w:sz w:val="32"/>
          <w:szCs w:val="32"/>
        </w:rPr>
      </w:pPr>
      <w:bookmarkStart w:id="11" w:name="_Toc256000010"/>
      <w:r>
        <w:rPr>
          <w:rFonts w:hint="eastAsia" w:ascii="黑体" w:hAnsi="仿宋" w:eastAsia="黑体"/>
          <w:sz w:val="32"/>
          <w:szCs w:val="32"/>
        </w:rPr>
        <w:t>四、财政拨款收入支出决算总表</w:t>
      </w:r>
      <w:bookmarkEnd w:id="11"/>
    </w:p>
    <w:tbl>
      <w:tblPr>
        <w:tblStyle w:val="11"/>
        <w:tblW w:w="14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663"/>
        <w:gridCol w:w="236"/>
        <w:gridCol w:w="2316"/>
        <w:gridCol w:w="1556"/>
        <w:gridCol w:w="1419"/>
        <w:gridCol w:w="987"/>
        <w:gridCol w:w="435"/>
        <w:gridCol w:w="1332"/>
        <w:gridCol w:w="1268"/>
      </w:tblGrid>
      <w:tr w14:paraId="12CF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540" w:hRule="atLeast"/>
        </w:trPr>
        <w:tc>
          <w:tcPr>
            <w:tcW w:w="11911" w:type="dxa"/>
            <w:gridSpan w:val="8"/>
            <w:tcBorders>
              <w:top w:val="nil"/>
              <w:left w:val="nil"/>
              <w:bottom w:val="nil"/>
              <w:right w:val="nil"/>
            </w:tcBorders>
            <w:shd w:val="clear" w:color="auto" w:fill="auto"/>
          </w:tcPr>
          <w:p w14:paraId="73123FB4">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财政拨款收入支出决算总表</w:t>
            </w:r>
          </w:p>
        </w:tc>
        <w:tc>
          <w:tcPr>
            <w:tcW w:w="1332" w:type="dxa"/>
            <w:tcBorders>
              <w:top w:val="nil"/>
              <w:left w:val="nil"/>
              <w:bottom w:val="nil"/>
              <w:right w:val="nil"/>
            </w:tcBorders>
          </w:tcPr>
          <w:p w14:paraId="51D88EB9">
            <w:pPr>
              <w:widowControl/>
              <w:overflowPunct w:val="0"/>
              <w:autoSpaceDE w:val="0"/>
              <w:autoSpaceDN w:val="0"/>
              <w:spacing w:line="240" w:lineRule="auto"/>
              <w:rPr>
                <w:rFonts w:ascii="黑体" w:hAnsi="Arial" w:eastAsia="黑体" w:cs="Arial"/>
                <w:color w:val="000000"/>
                <w:kern w:val="0"/>
                <w:sz w:val="36"/>
                <w:szCs w:val="36"/>
              </w:rPr>
            </w:pPr>
          </w:p>
        </w:tc>
      </w:tr>
      <w:tr w14:paraId="7B38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962" w:type="dxa"/>
            <w:gridSpan w:val="2"/>
            <w:tcBorders>
              <w:top w:val="nil"/>
              <w:left w:val="nil"/>
              <w:bottom w:val="nil"/>
              <w:right w:val="nil"/>
            </w:tcBorders>
            <w:shd w:val="clear" w:color="auto" w:fill="auto"/>
          </w:tcPr>
          <w:p w14:paraId="4C6870F8">
            <w:pPr>
              <w:widowControl/>
              <w:overflowPunct w:val="0"/>
              <w:autoSpaceDE w:val="0"/>
              <w:autoSpaceDN w:val="0"/>
              <w:spacing w:line="240" w:lineRule="auto"/>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tcPr>
          <w:p w14:paraId="124D09CA">
            <w:pPr>
              <w:widowControl/>
              <w:overflowPunct w:val="0"/>
              <w:autoSpaceDE w:val="0"/>
              <w:autoSpaceDN w:val="0"/>
              <w:spacing w:line="240" w:lineRule="auto"/>
              <w:rPr>
                <w:rFonts w:ascii="Arial" w:hAnsi="Arial" w:eastAsia="宋体" w:cs="Arial"/>
                <w:color w:val="000000"/>
                <w:kern w:val="0"/>
                <w:sz w:val="20"/>
                <w:szCs w:val="20"/>
              </w:rPr>
            </w:pPr>
          </w:p>
        </w:tc>
        <w:tc>
          <w:tcPr>
            <w:tcW w:w="6278" w:type="dxa"/>
            <w:gridSpan w:val="4"/>
            <w:tcBorders>
              <w:top w:val="nil"/>
              <w:left w:val="nil"/>
              <w:bottom w:val="nil"/>
              <w:right w:val="nil"/>
            </w:tcBorders>
            <w:shd w:val="clear" w:color="auto" w:fill="auto"/>
          </w:tcPr>
          <w:p w14:paraId="1576861D">
            <w:pPr>
              <w:widowControl/>
              <w:overflowPunct w:val="0"/>
              <w:autoSpaceDE w:val="0"/>
              <w:autoSpaceDN w:val="0"/>
              <w:spacing w:line="240" w:lineRule="auto"/>
              <w:rPr>
                <w:rFonts w:ascii="Arial" w:hAnsi="Arial" w:eastAsia="宋体" w:cs="Arial"/>
                <w:color w:val="000000"/>
                <w:kern w:val="0"/>
                <w:sz w:val="20"/>
                <w:szCs w:val="20"/>
              </w:rPr>
            </w:pPr>
          </w:p>
        </w:tc>
        <w:tc>
          <w:tcPr>
            <w:tcW w:w="3035" w:type="dxa"/>
            <w:gridSpan w:val="3"/>
            <w:tcBorders>
              <w:top w:val="nil"/>
              <w:left w:val="nil"/>
              <w:bottom w:val="nil"/>
              <w:right w:val="nil"/>
            </w:tcBorders>
            <w:shd w:val="clear" w:color="auto" w:fill="auto"/>
          </w:tcPr>
          <w:p w14:paraId="386D743E">
            <w:pPr>
              <w:widowControl/>
              <w:overflowPunct w:val="0"/>
              <w:autoSpaceDE w:val="0"/>
              <w:autoSpaceDN w:val="0"/>
              <w:spacing w:line="240" w:lineRule="auto"/>
              <w:ind w:firstLine="600" w:firstLineChars="300"/>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r>
      <w:tr w14:paraId="19A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15" w:hRule="atLeast"/>
        </w:trPr>
        <w:tc>
          <w:tcPr>
            <w:tcW w:w="10489" w:type="dxa"/>
            <w:gridSpan w:val="6"/>
            <w:tcBorders>
              <w:top w:val="nil"/>
              <w:left w:val="nil"/>
              <w:bottom w:val="single" w:color="auto" w:sz="4" w:space="0"/>
              <w:right w:val="nil"/>
            </w:tcBorders>
            <w:shd w:val="clear" w:color="auto" w:fill="auto"/>
          </w:tcPr>
          <w:p w14:paraId="58D6ABB7">
            <w:pPr>
              <w:widowControl/>
              <w:overflowPunct w:val="0"/>
              <w:autoSpaceDE w:val="0"/>
              <w:autoSpaceDN w:val="0"/>
              <w:spacing w:line="240" w:lineRule="auto"/>
              <w:rPr>
                <w:rFonts w:ascii="Arial" w:hAnsi="Arial" w:eastAsia="宋体" w:cs="Arial"/>
                <w:color w:val="000000"/>
                <w:kern w:val="0"/>
                <w:sz w:val="20"/>
                <w:szCs w:val="20"/>
              </w:rPr>
            </w:pPr>
            <w:r>
              <w:rPr>
                <w:rFonts w:hint="eastAsia" w:ascii="宋体" w:hAnsi="宋体" w:eastAsia="宋体" w:cs="Arial"/>
                <w:color w:val="000000"/>
                <w:kern w:val="0"/>
                <w:sz w:val="22"/>
              </w:rPr>
              <w:t>单位：福州市台江区保密技术检查中心</w:t>
            </w:r>
          </w:p>
        </w:tc>
        <w:tc>
          <w:tcPr>
            <w:tcW w:w="2754" w:type="dxa"/>
            <w:gridSpan w:val="3"/>
            <w:tcBorders>
              <w:top w:val="nil"/>
              <w:left w:val="nil"/>
              <w:bottom w:val="single" w:color="auto" w:sz="4" w:space="0"/>
              <w:right w:val="nil"/>
            </w:tcBorders>
            <w:shd w:val="clear" w:color="auto" w:fill="auto"/>
          </w:tcPr>
          <w:p w14:paraId="0BD52063">
            <w:pPr>
              <w:widowControl/>
              <w:overflowPunct w:val="0"/>
              <w:autoSpaceDE w:val="0"/>
              <w:autoSpaceDN w:val="0"/>
              <w:spacing w:line="240" w:lineRule="auto"/>
              <w:ind w:firstLine="800" w:firstLineChars="400"/>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单位：万元</w:t>
            </w:r>
          </w:p>
        </w:tc>
      </w:tr>
      <w:tr w14:paraId="7356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526" w:hRule="atLeast"/>
        </w:trPr>
        <w:tc>
          <w:tcPr>
            <w:tcW w:w="4962" w:type="dxa"/>
            <w:gridSpan w:val="2"/>
            <w:tcBorders>
              <w:top w:val="single" w:color="auto" w:sz="4" w:space="0"/>
            </w:tcBorders>
            <w:shd w:val="clear" w:color="auto" w:fill="auto"/>
            <w:vAlign w:val="center"/>
          </w:tcPr>
          <w:p w14:paraId="017DABC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收     入</w:t>
            </w:r>
          </w:p>
        </w:tc>
        <w:tc>
          <w:tcPr>
            <w:tcW w:w="8281" w:type="dxa"/>
            <w:gridSpan w:val="7"/>
            <w:tcBorders>
              <w:top w:val="single" w:color="auto" w:sz="4" w:space="0"/>
            </w:tcBorders>
            <w:shd w:val="clear" w:color="auto" w:fill="auto"/>
            <w:vAlign w:val="center"/>
          </w:tcPr>
          <w:p w14:paraId="20A7955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支     出</w:t>
            </w:r>
          </w:p>
        </w:tc>
      </w:tr>
      <w:tr w14:paraId="4E1A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1184" w:hRule="atLeast"/>
        </w:trPr>
        <w:tc>
          <w:tcPr>
            <w:tcW w:w="3299" w:type="dxa"/>
            <w:shd w:val="clear" w:color="auto" w:fill="auto"/>
            <w:vAlign w:val="center"/>
          </w:tcPr>
          <w:p w14:paraId="38C5921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    目</w:t>
            </w:r>
          </w:p>
        </w:tc>
        <w:tc>
          <w:tcPr>
            <w:tcW w:w="1663" w:type="dxa"/>
            <w:shd w:val="clear" w:color="auto" w:fill="auto"/>
            <w:vAlign w:val="center"/>
          </w:tcPr>
          <w:p w14:paraId="2474EB6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2552" w:type="dxa"/>
            <w:gridSpan w:val="2"/>
            <w:shd w:val="clear" w:color="auto" w:fill="auto"/>
            <w:vAlign w:val="center"/>
          </w:tcPr>
          <w:p w14:paraId="548873B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项目（按功能分类）</w:t>
            </w:r>
          </w:p>
        </w:tc>
        <w:tc>
          <w:tcPr>
            <w:tcW w:w="1556" w:type="dxa"/>
            <w:shd w:val="clear" w:color="auto" w:fill="auto"/>
            <w:vAlign w:val="center"/>
          </w:tcPr>
          <w:p w14:paraId="126CF6F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1419" w:type="dxa"/>
            <w:shd w:val="clear" w:color="auto" w:fill="auto"/>
            <w:vAlign w:val="center"/>
          </w:tcPr>
          <w:p w14:paraId="6A38C0F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一般公共预算财政拨款</w:t>
            </w:r>
          </w:p>
        </w:tc>
        <w:tc>
          <w:tcPr>
            <w:tcW w:w="1422" w:type="dxa"/>
            <w:gridSpan w:val="2"/>
            <w:shd w:val="clear" w:color="auto" w:fill="auto"/>
            <w:vAlign w:val="center"/>
          </w:tcPr>
          <w:p w14:paraId="7569C9F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政府性基金预算财政拨款</w:t>
            </w:r>
          </w:p>
        </w:tc>
        <w:tc>
          <w:tcPr>
            <w:tcW w:w="1332" w:type="dxa"/>
            <w:vAlign w:val="center"/>
          </w:tcPr>
          <w:p w14:paraId="3DC3609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国有资本经营预算财政拨款</w:t>
            </w:r>
          </w:p>
        </w:tc>
      </w:tr>
      <w:tr w14:paraId="390E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BB1E429">
            <w:pPr>
              <w:overflowPunct w:val="0"/>
              <w:autoSpaceDE w:val="0"/>
              <w:autoSpaceDN w:val="0"/>
              <w:rPr>
                <w:rFonts w:ascii="宋体" w:hAnsi="宋体" w:eastAsia="宋体" w:cs="宋体"/>
                <w:color w:val="000000"/>
                <w:szCs w:val="21"/>
              </w:rPr>
            </w:pPr>
            <w:r>
              <w:rPr>
                <w:rFonts w:ascii="宋体" w:hAnsi="宋体" w:eastAsia="宋体" w:cs="宋体"/>
                <w:color w:val="000000"/>
                <w:sz w:val="22"/>
              </w:rPr>
              <w:t>一、一般公共预算</w:t>
            </w:r>
          </w:p>
        </w:tc>
        <w:tc>
          <w:tcPr>
            <w:tcW w:w="1663" w:type="dxa"/>
            <w:shd w:val="clear" w:color="auto" w:fill="auto"/>
          </w:tcPr>
          <w:p w14:paraId="484E292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140.21</w:t>
            </w:r>
          </w:p>
        </w:tc>
        <w:tc>
          <w:tcPr>
            <w:tcW w:w="2552" w:type="dxa"/>
            <w:gridSpan w:val="2"/>
            <w:shd w:val="clear" w:color="auto" w:fill="auto"/>
          </w:tcPr>
          <w:p w14:paraId="0DF7710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一、一般公共服务支出</w:t>
            </w:r>
          </w:p>
        </w:tc>
        <w:tc>
          <w:tcPr>
            <w:tcW w:w="1556" w:type="dxa"/>
            <w:shd w:val="clear" w:color="auto" w:fill="auto"/>
          </w:tcPr>
          <w:p w14:paraId="021D5B1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89.57</w:t>
            </w:r>
          </w:p>
        </w:tc>
        <w:tc>
          <w:tcPr>
            <w:tcW w:w="1419" w:type="dxa"/>
            <w:shd w:val="clear" w:color="auto" w:fill="auto"/>
          </w:tcPr>
          <w:p w14:paraId="22403A8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89.57</w:t>
            </w:r>
          </w:p>
        </w:tc>
        <w:tc>
          <w:tcPr>
            <w:tcW w:w="1422" w:type="dxa"/>
            <w:gridSpan w:val="2"/>
            <w:shd w:val="clear" w:color="auto" w:fill="auto"/>
          </w:tcPr>
          <w:p w14:paraId="4F73972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D4EFF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387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1EEABE2">
            <w:pPr>
              <w:overflowPunct w:val="0"/>
              <w:autoSpaceDE w:val="0"/>
              <w:autoSpaceDN w:val="0"/>
              <w:rPr>
                <w:rFonts w:ascii="宋体" w:hAnsi="宋体" w:eastAsia="宋体" w:cs="宋体"/>
                <w:color w:val="000000"/>
                <w:szCs w:val="21"/>
              </w:rPr>
            </w:pPr>
            <w:r>
              <w:rPr>
                <w:rFonts w:ascii="宋体" w:hAnsi="宋体" w:eastAsia="宋体" w:cs="宋体"/>
                <w:color w:val="000000"/>
                <w:sz w:val="22"/>
              </w:rPr>
              <w:t>二、政府性基金预算</w:t>
            </w:r>
          </w:p>
        </w:tc>
        <w:tc>
          <w:tcPr>
            <w:tcW w:w="1663" w:type="dxa"/>
            <w:shd w:val="clear" w:color="auto" w:fill="auto"/>
          </w:tcPr>
          <w:p w14:paraId="27CD39F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41F2FD5A">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二、外交支出</w:t>
            </w:r>
          </w:p>
        </w:tc>
        <w:tc>
          <w:tcPr>
            <w:tcW w:w="1556" w:type="dxa"/>
            <w:shd w:val="clear" w:color="auto" w:fill="auto"/>
          </w:tcPr>
          <w:p w14:paraId="1C94B1B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48FBB8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3B7DE8E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669C7B4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78C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9C69677">
            <w:pPr>
              <w:overflowPunct w:val="0"/>
              <w:autoSpaceDE w:val="0"/>
              <w:autoSpaceDN w:val="0"/>
              <w:jc w:val="left"/>
              <w:rPr>
                <w:rFonts w:ascii="宋体" w:hAnsi="宋体" w:eastAsia="宋体" w:cs="宋体"/>
                <w:color w:val="000000"/>
                <w:szCs w:val="21"/>
              </w:rPr>
            </w:pPr>
            <w:r>
              <w:rPr>
                <w:rFonts w:ascii="宋体" w:hAnsi="宋体" w:eastAsia="宋体" w:cs="宋体"/>
                <w:color w:val="000000"/>
                <w:sz w:val="22"/>
              </w:rPr>
              <w:t>三、国有资本经营预算</w:t>
            </w:r>
          </w:p>
        </w:tc>
        <w:tc>
          <w:tcPr>
            <w:tcW w:w="1663" w:type="dxa"/>
            <w:shd w:val="clear" w:color="auto" w:fill="auto"/>
          </w:tcPr>
          <w:p w14:paraId="2399D12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51B4D416">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三、国防支出</w:t>
            </w:r>
          </w:p>
        </w:tc>
        <w:tc>
          <w:tcPr>
            <w:tcW w:w="1556" w:type="dxa"/>
            <w:shd w:val="clear" w:color="auto" w:fill="auto"/>
          </w:tcPr>
          <w:p w14:paraId="3AF00A1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DDD322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40AE78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135E17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C98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5B72D4A2">
            <w:pPr>
              <w:overflowPunct w:val="0"/>
              <w:autoSpaceDE w:val="0"/>
              <w:autoSpaceDN w:val="0"/>
              <w:rPr>
                <w:rFonts w:ascii="宋体" w:hAnsi="宋体" w:eastAsia="宋体" w:cs="宋体"/>
                <w:color w:val="000000"/>
                <w:szCs w:val="21"/>
              </w:rPr>
            </w:pPr>
          </w:p>
        </w:tc>
        <w:tc>
          <w:tcPr>
            <w:tcW w:w="1663" w:type="dxa"/>
            <w:shd w:val="clear" w:color="auto" w:fill="auto"/>
          </w:tcPr>
          <w:p w14:paraId="3EACCCB7">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2645C247">
            <w:pPr>
              <w:overflowPunct w:val="0"/>
              <w:autoSpaceDE w:val="0"/>
              <w:autoSpaceDN w:val="0"/>
              <w:jc w:val="left"/>
              <w:rPr>
                <w:rFonts w:ascii="宋体" w:hAnsi="宋体" w:eastAsia="宋体" w:cs="宋体"/>
                <w:color w:val="000000"/>
                <w:szCs w:val="21"/>
              </w:rPr>
            </w:pPr>
            <w:r>
              <w:rPr>
                <w:rFonts w:hint="eastAsia" w:ascii="宋体" w:hAnsi="宋体" w:eastAsia="宋体" w:cs="宋体"/>
                <w:color w:val="000000"/>
                <w:szCs w:val="21"/>
              </w:rPr>
              <w:t>四、公共安全支出</w:t>
            </w:r>
          </w:p>
        </w:tc>
        <w:tc>
          <w:tcPr>
            <w:tcW w:w="1556" w:type="dxa"/>
            <w:shd w:val="clear" w:color="auto" w:fill="auto"/>
          </w:tcPr>
          <w:p w14:paraId="2B897FD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75F0E56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E1EE9D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7B78FD2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267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AB00F1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617BDA5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387FD46">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五、教育支出</w:t>
            </w:r>
          </w:p>
        </w:tc>
        <w:tc>
          <w:tcPr>
            <w:tcW w:w="1556" w:type="dxa"/>
            <w:shd w:val="clear" w:color="auto" w:fill="auto"/>
          </w:tcPr>
          <w:p w14:paraId="6114889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06BD6E1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73EABB6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7C32D7B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451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59AAC8C3">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860D5F8">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C794EE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六、科学技术支出</w:t>
            </w:r>
          </w:p>
        </w:tc>
        <w:tc>
          <w:tcPr>
            <w:tcW w:w="1556" w:type="dxa"/>
            <w:shd w:val="clear" w:color="auto" w:fill="auto"/>
          </w:tcPr>
          <w:p w14:paraId="6372715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A62097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35239A0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685B711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3F6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3BED8B5">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1286EA3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9026080">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七、文化旅游体育与传媒支出</w:t>
            </w:r>
          </w:p>
        </w:tc>
        <w:tc>
          <w:tcPr>
            <w:tcW w:w="1556" w:type="dxa"/>
            <w:shd w:val="clear" w:color="auto" w:fill="auto"/>
          </w:tcPr>
          <w:p w14:paraId="056F913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051664D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8EA2AC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051D14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A58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A1D4DC5">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7F6EA3B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1E8EC2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八、社会保障和就业支出</w:t>
            </w:r>
          </w:p>
        </w:tc>
        <w:tc>
          <w:tcPr>
            <w:tcW w:w="1556" w:type="dxa"/>
            <w:shd w:val="clear" w:color="auto" w:fill="auto"/>
          </w:tcPr>
          <w:p w14:paraId="62F06A2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19.33</w:t>
            </w:r>
          </w:p>
        </w:tc>
        <w:tc>
          <w:tcPr>
            <w:tcW w:w="1419" w:type="dxa"/>
            <w:shd w:val="clear" w:color="auto" w:fill="auto"/>
          </w:tcPr>
          <w:p w14:paraId="0CA0287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19.33</w:t>
            </w:r>
          </w:p>
        </w:tc>
        <w:tc>
          <w:tcPr>
            <w:tcW w:w="1422" w:type="dxa"/>
            <w:gridSpan w:val="2"/>
            <w:shd w:val="clear" w:color="auto" w:fill="auto"/>
          </w:tcPr>
          <w:p w14:paraId="52844AB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39EA4F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984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4B727F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345C08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2C174D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九、卫生健康支出</w:t>
            </w:r>
          </w:p>
        </w:tc>
        <w:tc>
          <w:tcPr>
            <w:tcW w:w="1556" w:type="dxa"/>
            <w:shd w:val="clear" w:color="auto" w:fill="auto"/>
          </w:tcPr>
          <w:p w14:paraId="2FF9623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7.14</w:t>
            </w:r>
          </w:p>
        </w:tc>
        <w:tc>
          <w:tcPr>
            <w:tcW w:w="1419" w:type="dxa"/>
            <w:shd w:val="clear" w:color="auto" w:fill="auto"/>
          </w:tcPr>
          <w:p w14:paraId="122D127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7.14</w:t>
            </w:r>
          </w:p>
        </w:tc>
        <w:tc>
          <w:tcPr>
            <w:tcW w:w="1422" w:type="dxa"/>
            <w:gridSpan w:val="2"/>
            <w:shd w:val="clear" w:color="auto" w:fill="auto"/>
          </w:tcPr>
          <w:p w14:paraId="7D2CE9C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1C23A50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137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AD0C353">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41BA72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27232F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十、节能环保支出</w:t>
            </w:r>
          </w:p>
        </w:tc>
        <w:tc>
          <w:tcPr>
            <w:tcW w:w="1556" w:type="dxa"/>
            <w:shd w:val="clear" w:color="auto" w:fill="auto"/>
          </w:tcPr>
          <w:p w14:paraId="3A8B062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64AE27D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30CB9BC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403F0E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DFB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8531D4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0F5CF26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E64CC7C">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十一、城乡社区支出</w:t>
            </w:r>
          </w:p>
        </w:tc>
        <w:tc>
          <w:tcPr>
            <w:tcW w:w="1556" w:type="dxa"/>
            <w:shd w:val="clear" w:color="auto" w:fill="auto"/>
          </w:tcPr>
          <w:p w14:paraId="7F35EBC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880199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3748033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0EE360E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AC2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4BAD758">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A914A6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535F63FD">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十二、农林水支出</w:t>
            </w:r>
          </w:p>
        </w:tc>
        <w:tc>
          <w:tcPr>
            <w:tcW w:w="1556" w:type="dxa"/>
            <w:shd w:val="clear" w:color="auto" w:fill="auto"/>
          </w:tcPr>
          <w:p w14:paraId="1C106C6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F64652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B28299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6295EC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A1E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F53BAB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0B7442D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30706980">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十三、交通运输支出</w:t>
            </w:r>
          </w:p>
        </w:tc>
        <w:tc>
          <w:tcPr>
            <w:tcW w:w="1556" w:type="dxa"/>
            <w:shd w:val="clear" w:color="auto" w:fill="auto"/>
          </w:tcPr>
          <w:p w14:paraId="13755C6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5EC4255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4ACAED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01E9DF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5EB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CACEFE1">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C6FC7E6">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0BD4713">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十四、资源勘探工业信息等支出</w:t>
            </w:r>
          </w:p>
        </w:tc>
        <w:tc>
          <w:tcPr>
            <w:tcW w:w="1556" w:type="dxa"/>
            <w:shd w:val="clear" w:color="auto" w:fill="auto"/>
          </w:tcPr>
          <w:p w14:paraId="30F0E25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2DCB60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399A02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6EC415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23A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63F9FF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EBA96C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3DAC9051">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十五、商业服务业等支出</w:t>
            </w:r>
          </w:p>
        </w:tc>
        <w:tc>
          <w:tcPr>
            <w:tcW w:w="1556" w:type="dxa"/>
            <w:shd w:val="clear" w:color="auto" w:fill="auto"/>
          </w:tcPr>
          <w:p w14:paraId="57E909F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49F6C33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73BF95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845D44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E9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C74B4E9">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F88C19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FB29537">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十六、金融支出</w:t>
            </w:r>
          </w:p>
        </w:tc>
        <w:tc>
          <w:tcPr>
            <w:tcW w:w="1556" w:type="dxa"/>
            <w:shd w:val="clear" w:color="auto" w:fill="auto"/>
          </w:tcPr>
          <w:p w14:paraId="290C038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7A6B1B2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AF8B82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2CE04C3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B68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FA93198">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641F28C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2970D65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十七、援助其他地区支出</w:t>
            </w:r>
          </w:p>
        </w:tc>
        <w:tc>
          <w:tcPr>
            <w:tcW w:w="1556" w:type="dxa"/>
            <w:shd w:val="clear" w:color="auto" w:fill="auto"/>
          </w:tcPr>
          <w:p w14:paraId="4C12297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08A2C8A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6EC308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FF30D3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3E2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9BD7328">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687310F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16400A2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十八、自然资源海洋气象等支出</w:t>
            </w:r>
          </w:p>
        </w:tc>
        <w:tc>
          <w:tcPr>
            <w:tcW w:w="1556" w:type="dxa"/>
            <w:shd w:val="clear" w:color="auto" w:fill="auto"/>
          </w:tcPr>
          <w:p w14:paraId="52E9ACA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5D774E5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D54DA3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8A8C69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E6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30DE57D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13111C9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3EEB6E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十九、住房保障支出</w:t>
            </w:r>
          </w:p>
        </w:tc>
        <w:tc>
          <w:tcPr>
            <w:tcW w:w="1556" w:type="dxa"/>
            <w:shd w:val="clear" w:color="auto" w:fill="auto"/>
          </w:tcPr>
          <w:p w14:paraId="5B7FDBD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24.17</w:t>
            </w:r>
          </w:p>
        </w:tc>
        <w:tc>
          <w:tcPr>
            <w:tcW w:w="1419" w:type="dxa"/>
            <w:shd w:val="clear" w:color="auto" w:fill="auto"/>
          </w:tcPr>
          <w:p w14:paraId="100CD92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24.17</w:t>
            </w:r>
          </w:p>
        </w:tc>
        <w:tc>
          <w:tcPr>
            <w:tcW w:w="1422" w:type="dxa"/>
            <w:gridSpan w:val="2"/>
            <w:shd w:val="clear" w:color="auto" w:fill="auto"/>
          </w:tcPr>
          <w:p w14:paraId="0355901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7D3DA45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388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DC193CC">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33E7886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2F08772">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二十、粮油物资储备支出</w:t>
            </w:r>
          </w:p>
        </w:tc>
        <w:tc>
          <w:tcPr>
            <w:tcW w:w="1556" w:type="dxa"/>
            <w:shd w:val="clear" w:color="auto" w:fill="auto"/>
          </w:tcPr>
          <w:p w14:paraId="1925899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84FB67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491CF46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779C82D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A9E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64375A0">
            <w:pPr>
              <w:widowControl/>
              <w:overflowPunct w:val="0"/>
              <w:autoSpaceDE w:val="0"/>
              <w:autoSpaceDN w:val="0"/>
              <w:spacing w:line="240" w:lineRule="auto"/>
              <w:rPr>
                <w:rFonts w:ascii="宋体" w:hAnsi="宋体" w:eastAsia="宋体" w:cs="宋体"/>
                <w:color w:val="000000"/>
                <w:kern w:val="0"/>
                <w:szCs w:val="21"/>
              </w:rPr>
            </w:pPr>
          </w:p>
        </w:tc>
        <w:tc>
          <w:tcPr>
            <w:tcW w:w="1663" w:type="dxa"/>
            <w:shd w:val="clear" w:color="auto" w:fill="auto"/>
          </w:tcPr>
          <w:p w14:paraId="15723775">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20611EA9">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二十一、国有资本经营预算支出</w:t>
            </w:r>
          </w:p>
        </w:tc>
        <w:tc>
          <w:tcPr>
            <w:tcW w:w="1556" w:type="dxa"/>
            <w:shd w:val="clear" w:color="auto" w:fill="auto"/>
          </w:tcPr>
          <w:p w14:paraId="7F35DCB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0D25E1E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1BF4638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69AB707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B5D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92DD21F">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17C50CE8">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0EAD9035">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二十二、灾害防治及应急管理支出</w:t>
            </w:r>
          </w:p>
        </w:tc>
        <w:tc>
          <w:tcPr>
            <w:tcW w:w="1556" w:type="dxa"/>
            <w:shd w:val="clear" w:color="auto" w:fill="auto"/>
          </w:tcPr>
          <w:p w14:paraId="3575DD5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512A22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D47269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60CCF9A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28B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F47DE6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533854E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40610206">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二十三、其他支出</w:t>
            </w:r>
          </w:p>
        </w:tc>
        <w:tc>
          <w:tcPr>
            <w:tcW w:w="1556" w:type="dxa"/>
            <w:shd w:val="clear" w:color="auto" w:fill="auto"/>
          </w:tcPr>
          <w:p w14:paraId="681092D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4113B70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6B5F475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0B9B034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9EE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15DF42E4">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14:paraId="280E676B">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14:paraId="5435F674">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二十四、债务还本支出</w:t>
            </w:r>
          </w:p>
        </w:tc>
        <w:tc>
          <w:tcPr>
            <w:tcW w:w="1556" w:type="dxa"/>
            <w:shd w:val="clear" w:color="auto" w:fill="auto"/>
          </w:tcPr>
          <w:p w14:paraId="17E7D75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4A5299D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3939F1F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5B00FE0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B63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94FD17F">
            <w:pPr>
              <w:widowControl/>
              <w:overflowPunct w:val="0"/>
              <w:autoSpaceDE w:val="0"/>
              <w:autoSpaceDN w:val="0"/>
              <w:spacing w:line="240" w:lineRule="auto"/>
              <w:rPr>
                <w:rFonts w:ascii="宋体" w:hAnsi="宋体" w:eastAsia="宋体" w:cs="宋体"/>
                <w:b/>
                <w:bCs/>
                <w:color w:val="000000"/>
                <w:kern w:val="0"/>
                <w:szCs w:val="21"/>
              </w:rPr>
            </w:pPr>
          </w:p>
        </w:tc>
        <w:tc>
          <w:tcPr>
            <w:tcW w:w="1663" w:type="dxa"/>
            <w:shd w:val="clear" w:color="auto" w:fill="auto"/>
          </w:tcPr>
          <w:p w14:paraId="0FF27B65">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4D04AFEF">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二十五、债务付息支出</w:t>
            </w:r>
          </w:p>
        </w:tc>
        <w:tc>
          <w:tcPr>
            <w:tcW w:w="1556" w:type="dxa"/>
            <w:shd w:val="clear" w:color="auto" w:fill="auto"/>
          </w:tcPr>
          <w:p w14:paraId="4E3E0CC4">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168CA2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0205023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BAC697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F48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293451FB">
            <w:pPr>
              <w:widowControl/>
              <w:overflowPunct w:val="0"/>
              <w:autoSpaceDE w:val="0"/>
              <w:autoSpaceDN w:val="0"/>
              <w:spacing w:line="240" w:lineRule="auto"/>
              <w:rPr>
                <w:rFonts w:ascii="宋体" w:hAnsi="宋体" w:eastAsia="宋体" w:cs="宋体"/>
                <w:b/>
                <w:bCs/>
                <w:color w:val="000000"/>
                <w:kern w:val="0"/>
                <w:szCs w:val="21"/>
              </w:rPr>
            </w:pPr>
          </w:p>
        </w:tc>
        <w:tc>
          <w:tcPr>
            <w:tcW w:w="1663" w:type="dxa"/>
            <w:shd w:val="clear" w:color="auto" w:fill="auto"/>
          </w:tcPr>
          <w:p w14:paraId="3A163959">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14:paraId="575E4E88">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color w:val="000000"/>
                <w:szCs w:val="21"/>
              </w:rPr>
              <w:t>二十六、抗疫特别国债安排的支出</w:t>
            </w:r>
          </w:p>
        </w:tc>
        <w:tc>
          <w:tcPr>
            <w:tcW w:w="1556" w:type="dxa"/>
            <w:shd w:val="clear" w:color="auto" w:fill="auto"/>
          </w:tcPr>
          <w:p w14:paraId="50BDCF66">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3C0D887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B9FDC9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098522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E12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A2B5193">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本年收入合计</w:t>
            </w:r>
          </w:p>
        </w:tc>
        <w:tc>
          <w:tcPr>
            <w:tcW w:w="1663" w:type="dxa"/>
            <w:shd w:val="clear" w:color="auto" w:fill="auto"/>
          </w:tcPr>
          <w:p w14:paraId="6AF850A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140.21</w:t>
            </w:r>
          </w:p>
        </w:tc>
        <w:tc>
          <w:tcPr>
            <w:tcW w:w="2552" w:type="dxa"/>
            <w:gridSpan w:val="2"/>
            <w:shd w:val="clear" w:color="auto" w:fill="auto"/>
          </w:tcPr>
          <w:p w14:paraId="2D651E62">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本年支出合计</w:t>
            </w:r>
          </w:p>
        </w:tc>
        <w:tc>
          <w:tcPr>
            <w:tcW w:w="1556" w:type="dxa"/>
            <w:shd w:val="clear" w:color="auto" w:fill="auto"/>
          </w:tcPr>
          <w:p w14:paraId="568571AE">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140.21</w:t>
            </w:r>
          </w:p>
        </w:tc>
        <w:tc>
          <w:tcPr>
            <w:tcW w:w="1419" w:type="dxa"/>
            <w:shd w:val="clear" w:color="auto" w:fill="auto"/>
          </w:tcPr>
          <w:p w14:paraId="3776748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140.21</w:t>
            </w:r>
          </w:p>
        </w:tc>
        <w:tc>
          <w:tcPr>
            <w:tcW w:w="1422" w:type="dxa"/>
            <w:gridSpan w:val="2"/>
            <w:shd w:val="clear" w:color="auto" w:fill="auto"/>
          </w:tcPr>
          <w:p w14:paraId="3E5AA23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22E38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810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3E3A3EBE">
            <w:pPr>
              <w:widowControl/>
              <w:overflowPunct w:val="0"/>
              <w:autoSpaceDE w:val="0"/>
              <w:autoSpaceDN w:val="0"/>
              <w:spacing w:line="240" w:lineRule="auto"/>
              <w:rPr>
                <w:rFonts w:ascii="宋体" w:hAnsi="宋体" w:eastAsia="宋体" w:cs="宋体"/>
                <w:color w:val="000000"/>
                <w:kern w:val="0"/>
                <w:szCs w:val="21"/>
              </w:rPr>
            </w:pPr>
            <w:r>
              <w:rPr>
                <w:rFonts w:ascii="宋体" w:hAnsi="宋体" w:eastAsia="宋体" w:cs="宋体"/>
                <w:color w:val="000000"/>
                <w:sz w:val="22"/>
              </w:rPr>
              <w:t>年初结转和结余</w:t>
            </w:r>
          </w:p>
        </w:tc>
        <w:tc>
          <w:tcPr>
            <w:tcW w:w="1663" w:type="dxa"/>
            <w:shd w:val="clear" w:color="auto" w:fill="auto"/>
          </w:tcPr>
          <w:p w14:paraId="2BE8ED7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2C7F5A1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年末结转和结余</w:t>
            </w:r>
          </w:p>
        </w:tc>
        <w:tc>
          <w:tcPr>
            <w:tcW w:w="1556" w:type="dxa"/>
            <w:shd w:val="clear" w:color="auto" w:fill="auto"/>
          </w:tcPr>
          <w:p w14:paraId="4A6D1A6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14:paraId="1777B3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14:paraId="2D6CD10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47BCE78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17C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684D1A9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一、</w:t>
            </w:r>
            <w:r>
              <w:rPr>
                <w:rFonts w:ascii="宋体" w:hAnsi="宋体" w:eastAsia="宋体" w:cs="宋体"/>
                <w:color w:val="000000"/>
                <w:sz w:val="22"/>
              </w:rPr>
              <w:t>一般公共预算</w:t>
            </w:r>
          </w:p>
        </w:tc>
        <w:tc>
          <w:tcPr>
            <w:tcW w:w="1663" w:type="dxa"/>
            <w:shd w:val="clear" w:color="auto" w:fill="auto"/>
          </w:tcPr>
          <w:p w14:paraId="1398BBD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4F9ED017">
            <w:pPr>
              <w:widowControl/>
              <w:overflowPunct w:val="0"/>
              <w:autoSpaceDE w:val="0"/>
              <w:autoSpaceDN w:val="0"/>
              <w:spacing w:line="240" w:lineRule="auto"/>
              <w:rPr>
                <w:rFonts w:ascii="宋体" w:hAnsi="宋体" w:eastAsia="宋体" w:cs="宋体"/>
                <w:color w:val="000000"/>
                <w:kern w:val="0"/>
                <w:szCs w:val="21"/>
              </w:rPr>
            </w:pPr>
          </w:p>
        </w:tc>
        <w:tc>
          <w:tcPr>
            <w:tcW w:w="1556" w:type="dxa"/>
            <w:shd w:val="clear" w:color="auto" w:fill="auto"/>
          </w:tcPr>
          <w:p w14:paraId="7C92A989">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14:paraId="13772EA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14:paraId="720BD771">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14:paraId="28570EA7">
            <w:pPr>
              <w:widowControl/>
              <w:overflowPunct w:val="0"/>
              <w:autoSpaceDE w:val="0"/>
              <w:autoSpaceDN w:val="0"/>
              <w:spacing w:line="240" w:lineRule="auto"/>
              <w:rPr>
                <w:rFonts w:ascii="宋体" w:hAnsi="宋体" w:eastAsia="宋体" w:cs="宋体"/>
                <w:color w:val="000000"/>
                <w:kern w:val="0"/>
                <w:szCs w:val="21"/>
              </w:rPr>
            </w:pPr>
          </w:p>
        </w:tc>
      </w:tr>
      <w:tr w14:paraId="355A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026101B7">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二、</w:t>
            </w:r>
            <w:r>
              <w:rPr>
                <w:rFonts w:ascii="宋体" w:hAnsi="宋体" w:eastAsia="宋体" w:cs="宋体"/>
                <w:color w:val="000000"/>
                <w:sz w:val="22"/>
              </w:rPr>
              <w:t>政府性基金预算</w:t>
            </w:r>
          </w:p>
        </w:tc>
        <w:tc>
          <w:tcPr>
            <w:tcW w:w="1663" w:type="dxa"/>
            <w:shd w:val="clear" w:color="auto" w:fill="auto"/>
          </w:tcPr>
          <w:p w14:paraId="5FC76B2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5CE182E5">
            <w:pPr>
              <w:widowControl/>
              <w:overflowPunct w:val="0"/>
              <w:autoSpaceDE w:val="0"/>
              <w:autoSpaceDN w:val="0"/>
              <w:spacing w:line="240" w:lineRule="auto"/>
              <w:rPr>
                <w:rFonts w:ascii="宋体" w:hAnsi="宋体" w:eastAsia="宋体" w:cs="宋体"/>
                <w:color w:val="000000"/>
                <w:kern w:val="0"/>
                <w:szCs w:val="21"/>
              </w:rPr>
            </w:pPr>
          </w:p>
        </w:tc>
        <w:tc>
          <w:tcPr>
            <w:tcW w:w="1556" w:type="dxa"/>
            <w:shd w:val="clear" w:color="auto" w:fill="auto"/>
          </w:tcPr>
          <w:p w14:paraId="13BB8CE9">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14:paraId="63324598">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14:paraId="19F2BC2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14:paraId="107E78E6">
            <w:pPr>
              <w:widowControl/>
              <w:overflowPunct w:val="0"/>
              <w:autoSpaceDE w:val="0"/>
              <w:autoSpaceDN w:val="0"/>
              <w:spacing w:line="240" w:lineRule="auto"/>
              <w:rPr>
                <w:rFonts w:ascii="宋体" w:hAnsi="宋体" w:eastAsia="宋体" w:cs="宋体"/>
                <w:color w:val="000000"/>
                <w:kern w:val="0"/>
                <w:szCs w:val="21"/>
              </w:rPr>
            </w:pPr>
          </w:p>
        </w:tc>
      </w:tr>
      <w:tr w14:paraId="108E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429D68D9">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三、</w:t>
            </w:r>
            <w:r>
              <w:rPr>
                <w:rFonts w:ascii="宋体" w:hAnsi="宋体" w:eastAsia="宋体" w:cs="宋体"/>
                <w:color w:val="000000"/>
                <w:sz w:val="22"/>
              </w:rPr>
              <w:t>国有资本经营预算</w:t>
            </w:r>
          </w:p>
        </w:tc>
        <w:tc>
          <w:tcPr>
            <w:tcW w:w="1663" w:type="dxa"/>
            <w:shd w:val="clear" w:color="auto" w:fill="auto"/>
          </w:tcPr>
          <w:p w14:paraId="6AC44F7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14:paraId="79BDA5AE">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56" w:type="dxa"/>
            <w:shd w:val="clear" w:color="auto" w:fill="auto"/>
          </w:tcPr>
          <w:p w14:paraId="18416FB2">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14:paraId="08BE2CEA">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14:paraId="1A536CB0">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14:paraId="7F86A3E8">
            <w:pPr>
              <w:widowControl/>
              <w:overflowPunct w:val="0"/>
              <w:autoSpaceDE w:val="0"/>
              <w:autoSpaceDN w:val="0"/>
              <w:spacing w:line="240" w:lineRule="auto"/>
              <w:rPr>
                <w:rFonts w:ascii="宋体" w:hAnsi="宋体" w:eastAsia="宋体" w:cs="宋体"/>
                <w:color w:val="000000"/>
                <w:kern w:val="0"/>
                <w:szCs w:val="21"/>
              </w:rPr>
            </w:pPr>
          </w:p>
        </w:tc>
      </w:tr>
      <w:tr w14:paraId="14AE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14:paraId="79557936">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663" w:type="dxa"/>
            <w:shd w:val="clear" w:color="auto" w:fill="auto"/>
          </w:tcPr>
          <w:p w14:paraId="471EF5A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140.21</w:t>
            </w:r>
          </w:p>
        </w:tc>
        <w:tc>
          <w:tcPr>
            <w:tcW w:w="2552" w:type="dxa"/>
            <w:gridSpan w:val="2"/>
            <w:shd w:val="clear" w:color="auto" w:fill="auto"/>
          </w:tcPr>
          <w:p w14:paraId="7C42C0D2">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556" w:type="dxa"/>
            <w:shd w:val="clear" w:color="auto" w:fill="auto"/>
          </w:tcPr>
          <w:p w14:paraId="69A7E32B">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140.21</w:t>
            </w:r>
          </w:p>
        </w:tc>
        <w:tc>
          <w:tcPr>
            <w:tcW w:w="1419" w:type="dxa"/>
            <w:shd w:val="clear" w:color="auto" w:fill="auto"/>
          </w:tcPr>
          <w:p w14:paraId="743E405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140.21</w:t>
            </w:r>
          </w:p>
        </w:tc>
        <w:tc>
          <w:tcPr>
            <w:tcW w:w="1422" w:type="dxa"/>
            <w:gridSpan w:val="2"/>
            <w:shd w:val="clear" w:color="auto" w:fill="auto"/>
          </w:tcPr>
          <w:p w14:paraId="0B5FD17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14:paraId="3723F9D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bl>
    <w:p w14:paraId="5F711C20">
      <w:pPr>
        <w:widowControl/>
        <w:overflowPunct w:val="0"/>
        <w:autoSpaceDE w:val="0"/>
        <w:autoSpaceDN w:val="0"/>
        <w:spacing w:line="240" w:lineRule="auto"/>
        <w:jc w:val="left"/>
      </w:pPr>
      <w:r>
        <w:rPr>
          <w:rFonts w:hint="eastAsia" w:ascii="宋体" w:hAnsi="宋体" w:eastAsia="宋体" w:cs="宋体"/>
          <w:sz w:val="24"/>
          <w:szCs w:val="24"/>
        </w:rPr>
        <w:t>注：本表反映单位本年度一般公共预算财政拨款、政府性基金预算财政拨款和国有资本经营预算财政拨款的总收支和年末结转结余情况。</w:t>
      </w:r>
    </w:p>
    <w:p w14:paraId="4C6273C4">
      <w:pPr>
        <w:widowControl/>
        <w:overflowPunct w:val="0"/>
        <w:autoSpaceDE w:val="0"/>
        <w:autoSpaceDN w:val="0"/>
        <w:spacing w:line="240" w:lineRule="auto"/>
        <w:jc w:val="left"/>
      </w:pPr>
    </w:p>
    <w:p w14:paraId="40415659">
      <w:pPr>
        <w:overflowPunct w:val="0"/>
        <w:autoSpaceDE w:val="0"/>
        <w:autoSpaceDN w:val="0"/>
        <w:jc w:val="left"/>
        <w:outlineLvl w:val="1"/>
        <w:rPr>
          <w:rFonts w:ascii="黑体" w:hAnsi="仿宋" w:eastAsia="黑体"/>
          <w:sz w:val="32"/>
          <w:szCs w:val="32"/>
        </w:rPr>
        <w:sectPr>
          <w:type w:val="continuous"/>
          <w:pgSz w:w="16838" w:h="11906" w:orient="landscape"/>
          <w:pgMar w:top="1440" w:right="1800" w:bottom="1440" w:left="1800" w:header="851" w:footer="992" w:gutter="0"/>
          <w:cols w:space="425" w:num="1"/>
          <w:docGrid w:type="lines" w:linePitch="312" w:charSpace="0"/>
        </w:sectPr>
      </w:pPr>
    </w:p>
    <w:p w14:paraId="4E1EC734">
      <w:pPr>
        <w:overflowPunct w:val="0"/>
        <w:autoSpaceDE w:val="0"/>
        <w:autoSpaceDN w:val="0"/>
        <w:jc w:val="left"/>
        <w:outlineLvl w:val="1"/>
        <w:rPr>
          <w:rFonts w:ascii="黑体" w:hAnsi="仿宋" w:eastAsia="黑体"/>
          <w:sz w:val="32"/>
          <w:szCs w:val="32"/>
        </w:rPr>
      </w:pPr>
      <w:bookmarkStart w:id="12" w:name="_Toc256000011"/>
      <w:r>
        <w:rPr>
          <w:rFonts w:hint="eastAsia" w:ascii="黑体" w:hAnsi="仿宋" w:eastAsia="黑体"/>
          <w:sz w:val="32"/>
          <w:szCs w:val="32"/>
        </w:rPr>
        <w:t>五、一般公共预算财政拨款支出决算表</w:t>
      </w:r>
      <w:bookmarkEnd w:id="12"/>
    </w:p>
    <w:tbl>
      <w:tblPr>
        <w:tblStyle w:val="11"/>
        <w:tblW w:w="8522" w:type="dxa"/>
        <w:jc w:val="center"/>
        <w:tblLayout w:type="fixed"/>
        <w:tblCellMar>
          <w:top w:w="0" w:type="dxa"/>
          <w:left w:w="108" w:type="dxa"/>
          <w:bottom w:w="0" w:type="dxa"/>
          <w:right w:w="108" w:type="dxa"/>
        </w:tblCellMar>
      </w:tblPr>
      <w:tblGrid>
        <w:gridCol w:w="1513"/>
        <w:gridCol w:w="2775"/>
        <w:gridCol w:w="1410"/>
        <w:gridCol w:w="6"/>
        <w:gridCol w:w="188"/>
        <w:gridCol w:w="1216"/>
        <w:gridCol w:w="1414"/>
      </w:tblGrid>
      <w:tr w14:paraId="51A4DE1E">
        <w:tblPrEx>
          <w:tblCellMar>
            <w:top w:w="0" w:type="dxa"/>
            <w:left w:w="108" w:type="dxa"/>
            <w:bottom w:w="0" w:type="dxa"/>
            <w:right w:w="108" w:type="dxa"/>
          </w:tblCellMar>
        </w:tblPrEx>
        <w:trPr>
          <w:trHeight w:val="540" w:hRule="atLeast"/>
          <w:jc w:val="center"/>
        </w:trPr>
        <w:tc>
          <w:tcPr>
            <w:tcW w:w="8522" w:type="dxa"/>
            <w:gridSpan w:val="7"/>
            <w:tcBorders>
              <w:top w:val="nil"/>
              <w:left w:val="nil"/>
              <w:bottom w:val="nil"/>
              <w:right w:val="nil"/>
            </w:tcBorders>
            <w:shd w:val="clear" w:color="auto" w:fill="auto"/>
            <w:vAlign w:val="bottom"/>
          </w:tcPr>
          <w:p w14:paraId="0BFBFCBC">
            <w:pPr>
              <w:widowControl/>
              <w:overflowPunct w:val="0"/>
              <w:autoSpaceDE w:val="0"/>
              <w:autoSpaceDN w:val="0"/>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一般公共预算财政拨款支出决算表</w:t>
            </w:r>
          </w:p>
          <w:p w14:paraId="7F1F7FD0">
            <w:pPr>
              <w:widowControl/>
              <w:overflowPunct w:val="0"/>
              <w:autoSpaceDE w:val="0"/>
              <w:autoSpaceDN w:val="0"/>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07C7B49F">
        <w:tblPrEx>
          <w:tblCellMar>
            <w:top w:w="0" w:type="dxa"/>
            <w:left w:w="108" w:type="dxa"/>
            <w:bottom w:w="0" w:type="dxa"/>
            <w:right w:w="108" w:type="dxa"/>
          </w:tblCellMar>
        </w:tblPrEx>
        <w:trPr>
          <w:trHeight w:val="510" w:hRule="atLeast"/>
          <w:jc w:val="center"/>
        </w:trPr>
        <w:tc>
          <w:tcPr>
            <w:tcW w:w="5892" w:type="dxa"/>
            <w:gridSpan w:val="5"/>
            <w:tcBorders>
              <w:top w:val="nil"/>
              <w:left w:val="nil"/>
              <w:bottom w:val="single" w:color="auto" w:sz="4" w:space="0"/>
              <w:right w:val="nil"/>
            </w:tcBorders>
            <w:shd w:val="clear" w:color="auto" w:fill="auto"/>
            <w:vAlign w:val="center"/>
          </w:tcPr>
          <w:p w14:paraId="2250FB41">
            <w:pPr>
              <w:widowControl/>
              <w:overflowPunct w:val="0"/>
              <w:autoSpaceDE w:val="0"/>
              <w:autoSpaceDN w:val="0"/>
              <w:spacing w:line="240" w:lineRule="auto"/>
              <w:jc w:val="left"/>
              <w:rPr>
                <w:rFonts w:ascii="宋体" w:hAnsi="宋体" w:eastAsia="宋体" w:cs="Arial"/>
                <w:kern w:val="0"/>
                <w:sz w:val="24"/>
                <w:szCs w:val="24"/>
              </w:rPr>
            </w:pPr>
            <w:r>
              <w:rPr>
                <w:rFonts w:hint="eastAsia" w:ascii="宋体" w:hAnsi="宋体" w:eastAsia="宋体" w:cs="Arial"/>
                <w:color w:val="000000"/>
                <w:kern w:val="0"/>
                <w:sz w:val="22"/>
              </w:rPr>
              <w:t>单位：福州市台江区保密技术检查中心</w:t>
            </w:r>
          </w:p>
        </w:tc>
        <w:tc>
          <w:tcPr>
            <w:tcW w:w="2630" w:type="dxa"/>
            <w:gridSpan w:val="2"/>
            <w:tcBorders>
              <w:top w:val="nil"/>
              <w:left w:val="nil"/>
              <w:bottom w:val="single" w:color="auto" w:sz="4" w:space="0"/>
              <w:right w:val="nil"/>
            </w:tcBorders>
            <w:shd w:val="clear" w:color="auto" w:fill="auto"/>
            <w:vAlign w:val="center"/>
          </w:tcPr>
          <w:p w14:paraId="2C580CD5">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10B5361A">
        <w:tblPrEx>
          <w:tblCellMar>
            <w:top w:w="0" w:type="dxa"/>
            <w:left w:w="108" w:type="dxa"/>
            <w:bottom w:w="0" w:type="dxa"/>
            <w:right w:w="108" w:type="dxa"/>
          </w:tblCellMar>
        </w:tblPrEx>
        <w:trPr>
          <w:trHeight w:val="510"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35A71">
            <w:pPr>
              <w:widowControl/>
              <w:overflowPunct w:val="0"/>
              <w:autoSpaceDE w:val="0"/>
              <w:autoSpaceDN w:val="0"/>
              <w:spacing w:line="240" w:lineRule="auto"/>
              <w:jc w:val="center"/>
              <w:rPr>
                <w:rFonts w:ascii="宋体" w:hAnsi="宋体" w:eastAsia="宋体" w:cs="Arial"/>
                <w:kern w:val="0"/>
                <w:szCs w:val="21"/>
              </w:rPr>
            </w:pPr>
            <w:r>
              <w:rPr>
                <w:rFonts w:hint="eastAsia" w:ascii="宋体" w:hAnsi="宋体" w:eastAsia="宋体" w:cs="Arial"/>
                <w:kern w:val="0"/>
                <w:szCs w:val="21"/>
              </w:rPr>
              <w:t>项   目</w:t>
            </w:r>
          </w:p>
        </w:tc>
        <w:tc>
          <w:tcPr>
            <w:tcW w:w="42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FD77AA">
            <w:pPr>
              <w:widowControl/>
              <w:overflowPunct w:val="0"/>
              <w:autoSpaceDE w:val="0"/>
              <w:autoSpaceDN w:val="0"/>
              <w:spacing w:line="240" w:lineRule="auto"/>
              <w:jc w:val="center"/>
              <w:rPr>
                <w:rFonts w:ascii="宋体" w:hAnsi="宋体" w:eastAsia="宋体" w:cs="Arial"/>
                <w:kern w:val="0"/>
                <w:szCs w:val="21"/>
              </w:rPr>
            </w:pPr>
            <w:r>
              <w:rPr>
                <w:rFonts w:hint="eastAsia" w:ascii="宋体" w:hAnsi="宋体" w:eastAsia="宋体" w:cs="Arial"/>
                <w:kern w:val="0"/>
                <w:szCs w:val="21"/>
              </w:rPr>
              <w:t>本年支出</w:t>
            </w:r>
          </w:p>
        </w:tc>
      </w:tr>
      <w:tr w14:paraId="0525A0C1">
        <w:tblPrEx>
          <w:tblCellMar>
            <w:top w:w="0" w:type="dxa"/>
            <w:left w:w="108" w:type="dxa"/>
            <w:bottom w:w="0" w:type="dxa"/>
            <w:right w:w="108" w:type="dxa"/>
          </w:tblCellMar>
        </w:tblPrEx>
        <w:trPr>
          <w:trHeight w:val="5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AD88CB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功能分类科目编码</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12AF0E3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A90624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小计</w:t>
            </w:r>
          </w:p>
        </w:tc>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BA274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F760FB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r>
      <w:tr w14:paraId="4B0F4E9F">
        <w:tblPrEx>
          <w:tblCellMar>
            <w:top w:w="0" w:type="dxa"/>
            <w:left w:w="108" w:type="dxa"/>
            <w:bottom w:w="0" w:type="dxa"/>
            <w:right w:w="108" w:type="dxa"/>
          </w:tblCellMar>
        </w:tblPrEx>
        <w:trPr>
          <w:trHeight w:val="435"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8C49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0C96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140.21</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8F208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137.42</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C01631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2.79</w:t>
            </w:r>
          </w:p>
        </w:tc>
      </w:tr>
      <w:tr w14:paraId="302FA904">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F14B9F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258ECF2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CAA92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4391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8EEE5F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r>
      <w:tr w14:paraId="1FCC78C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EBC7D0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1E60E43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56FCC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89.57</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1801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85C15D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r>
      <w:tr w14:paraId="59B9CAC6">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314670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26F3D3E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一般行政管理事务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2CDBB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273D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3015C46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2.79</w:t>
            </w:r>
          </w:p>
        </w:tc>
      </w:tr>
      <w:tr w14:paraId="62CA0C0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17056D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2013150</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1E529EE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事业运行</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F12C0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AED8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86.78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CFC586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4104CB2">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945C28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215641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14A3D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19.33</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972C8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19.33</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EA7B19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5C8E461C">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55DDEB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E3CBC6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C107F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D766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19.28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BFB8EF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551D628">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FF83C4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14BF88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75C4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12.66</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2503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863057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9CAB407">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EEF179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032889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CA4E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6.62</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2CF4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6.62</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7AF916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942990F">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F59D3F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D1E3AA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4FCC9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43A7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197A83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4CBEC75">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D56938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261A14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9D73A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6F528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93E71F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652B123E">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3F4D65D">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04B723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FA8F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EFDF4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127377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757D9616">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66D3DE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8941E93">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A78D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C68B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7.14</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45C2DD4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33F55B0D">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6720485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71BE8081">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事业单位医疗</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BAC5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3.96</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2C00F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3.96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8D769B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AA16B5D">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37F250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377E5A5">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8B41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3.18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6260E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3.18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3E68F97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2C37ABFC">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573613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455D2AAB">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D042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46931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66ABFF2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2B49E45">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16623CC">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25DD90A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872F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B0B5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24.17</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243AE5E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1EE303B1">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B2E570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51E21D09">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5A76A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10.85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E9E45">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10.85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74ACA24F">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446A702B">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3D70D44">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38BE9FEF">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1C391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2.00</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2A4BC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2.00</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471892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14:paraId="0C779D3D">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AC59BBE">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2491FE0">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5336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11.32</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DA3E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11.32</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1C9A64D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14:paraId="3B7125CD">
      <w:pPr>
        <w:widowControl/>
        <w:overflowPunct w:val="0"/>
        <w:autoSpaceDE w:val="0"/>
        <w:autoSpaceDN w:val="0"/>
        <w:spacing w:line="240" w:lineRule="auto"/>
        <w:jc w:val="left"/>
        <w:rPr>
          <w:rFonts w:ascii="宋体" w:hAnsi="宋体" w:eastAsia="宋体" w:cs="宋体"/>
          <w:sz w:val="24"/>
          <w:szCs w:val="24"/>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注：本表反映单位本年度一般公共预算财政拨款支出情况。</w:t>
      </w:r>
    </w:p>
    <w:p w14:paraId="6F5958F7">
      <w:pPr>
        <w:overflowPunct w:val="0"/>
        <w:autoSpaceDE w:val="0"/>
        <w:autoSpaceDN w:val="0"/>
        <w:jc w:val="left"/>
        <w:outlineLvl w:val="1"/>
        <w:rPr>
          <w:rFonts w:ascii="黑体" w:hAnsi="仿宋" w:eastAsia="黑体"/>
          <w:sz w:val="32"/>
          <w:szCs w:val="32"/>
        </w:rPr>
      </w:pPr>
      <w:bookmarkStart w:id="13" w:name="_Toc256000012"/>
      <w:r>
        <w:rPr>
          <w:rFonts w:hint="eastAsia" w:ascii="黑体" w:hAnsi="仿宋" w:eastAsia="黑体"/>
          <w:sz w:val="32"/>
          <w:szCs w:val="32"/>
        </w:rPr>
        <w:t>六、一般公共预算财政拨款基本支出决算表</w:t>
      </w:r>
      <w:bookmarkEnd w:id="13"/>
    </w:p>
    <w:tbl>
      <w:tblPr>
        <w:tblStyle w:val="11"/>
        <w:tblW w:w="13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860"/>
        <w:gridCol w:w="1178"/>
        <w:gridCol w:w="1261"/>
        <w:gridCol w:w="2019"/>
        <w:gridCol w:w="1047"/>
        <w:gridCol w:w="625"/>
        <w:gridCol w:w="474"/>
        <w:gridCol w:w="1080"/>
        <w:gridCol w:w="1036"/>
        <w:gridCol w:w="1183"/>
      </w:tblGrid>
      <w:tr w14:paraId="79DA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878" w:type="dxa"/>
            <w:gridSpan w:val="11"/>
            <w:tcBorders>
              <w:top w:val="nil"/>
              <w:left w:val="nil"/>
              <w:bottom w:val="nil"/>
              <w:right w:val="nil"/>
            </w:tcBorders>
            <w:shd w:val="clear" w:color="auto" w:fill="auto"/>
            <w:vAlign w:val="center"/>
          </w:tcPr>
          <w:p w14:paraId="5113F5F4">
            <w:pPr>
              <w:widowControl/>
              <w:overflowPunct w:val="0"/>
              <w:autoSpaceDE w:val="0"/>
              <w:autoSpaceDN w:val="0"/>
              <w:spacing w:line="240" w:lineRule="auto"/>
              <w:jc w:val="center"/>
              <w:rPr>
                <w:rFonts w:ascii="黑体" w:hAnsi="Arial" w:eastAsia="黑体" w:cs="Arial"/>
                <w:color w:val="000000"/>
                <w:kern w:val="0"/>
                <w:sz w:val="44"/>
                <w:szCs w:val="44"/>
              </w:rPr>
            </w:pPr>
            <w:r>
              <w:rPr>
                <w:rFonts w:hint="eastAsia" w:ascii="黑体" w:hAnsi="Arial" w:eastAsia="黑体" w:cs="Arial"/>
                <w:color w:val="000000"/>
                <w:kern w:val="0"/>
                <w:sz w:val="36"/>
                <w:szCs w:val="36"/>
              </w:rPr>
              <w:t>一般公共预算财政拨款基本支出决算表</w:t>
            </w:r>
          </w:p>
        </w:tc>
      </w:tr>
      <w:tr w14:paraId="475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53" w:type="dxa"/>
            <w:gridSpan w:val="3"/>
            <w:tcBorders>
              <w:top w:val="nil"/>
              <w:left w:val="nil"/>
              <w:bottom w:val="nil"/>
              <w:right w:val="nil"/>
            </w:tcBorders>
            <w:shd w:val="clear" w:color="auto" w:fill="auto"/>
            <w:vAlign w:val="center"/>
          </w:tcPr>
          <w:p w14:paraId="32B48430">
            <w:pPr>
              <w:widowControl/>
              <w:overflowPunct w:val="0"/>
              <w:autoSpaceDE w:val="0"/>
              <w:autoSpaceDN w:val="0"/>
              <w:spacing w:line="240" w:lineRule="auto"/>
              <w:jc w:val="left"/>
              <w:rPr>
                <w:rFonts w:ascii="宋体" w:hAnsi="宋体" w:eastAsia="宋体" w:cs="Arial"/>
                <w:color w:val="000000"/>
                <w:kern w:val="0"/>
                <w:sz w:val="22"/>
              </w:rPr>
            </w:pPr>
          </w:p>
        </w:tc>
        <w:tc>
          <w:tcPr>
            <w:tcW w:w="1261" w:type="dxa"/>
            <w:tcBorders>
              <w:top w:val="nil"/>
              <w:left w:val="nil"/>
              <w:bottom w:val="nil"/>
              <w:right w:val="nil"/>
            </w:tcBorders>
            <w:shd w:val="clear" w:color="auto" w:fill="auto"/>
            <w:vAlign w:val="bottom"/>
          </w:tcPr>
          <w:p w14:paraId="794487FD">
            <w:pPr>
              <w:widowControl/>
              <w:overflowPunct w:val="0"/>
              <w:autoSpaceDE w:val="0"/>
              <w:autoSpaceDN w:val="0"/>
              <w:spacing w:line="240" w:lineRule="auto"/>
              <w:jc w:val="left"/>
              <w:rPr>
                <w:rFonts w:ascii="Arial" w:hAnsi="Arial" w:eastAsia="宋体" w:cs="Arial"/>
                <w:color w:val="000000"/>
                <w:kern w:val="0"/>
                <w:sz w:val="20"/>
                <w:szCs w:val="20"/>
              </w:rPr>
            </w:pPr>
          </w:p>
        </w:tc>
        <w:tc>
          <w:tcPr>
            <w:tcW w:w="2019" w:type="dxa"/>
            <w:tcBorders>
              <w:top w:val="nil"/>
              <w:left w:val="nil"/>
              <w:bottom w:val="nil"/>
              <w:right w:val="nil"/>
            </w:tcBorders>
            <w:shd w:val="clear" w:color="auto" w:fill="auto"/>
            <w:vAlign w:val="bottom"/>
          </w:tcPr>
          <w:p w14:paraId="6C04A142">
            <w:pPr>
              <w:widowControl/>
              <w:overflowPunct w:val="0"/>
              <w:autoSpaceDE w:val="0"/>
              <w:autoSpaceDN w:val="0"/>
              <w:spacing w:line="240" w:lineRule="auto"/>
              <w:jc w:val="left"/>
              <w:rPr>
                <w:rFonts w:ascii="Arial" w:hAnsi="Arial" w:eastAsia="宋体" w:cs="Arial"/>
                <w:color w:val="000000"/>
                <w:kern w:val="0"/>
                <w:sz w:val="20"/>
                <w:szCs w:val="20"/>
              </w:rPr>
            </w:pPr>
          </w:p>
        </w:tc>
        <w:tc>
          <w:tcPr>
            <w:tcW w:w="1672" w:type="dxa"/>
            <w:gridSpan w:val="2"/>
            <w:tcBorders>
              <w:top w:val="nil"/>
              <w:left w:val="nil"/>
              <w:bottom w:val="nil"/>
              <w:right w:val="nil"/>
            </w:tcBorders>
            <w:shd w:val="clear" w:color="auto" w:fill="auto"/>
            <w:vAlign w:val="bottom"/>
          </w:tcPr>
          <w:p w14:paraId="36625422">
            <w:pPr>
              <w:widowControl/>
              <w:overflowPunct w:val="0"/>
              <w:autoSpaceDE w:val="0"/>
              <w:autoSpaceDN w:val="0"/>
              <w:spacing w:line="240" w:lineRule="auto"/>
              <w:jc w:val="left"/>
              <w:rPr>
                <w:rFonts w:ascii="Arial" w:hAnsi="Arial" w:eastAsia="宋体" w:cs="Arial"/>
                <w:color w:val="000000"/>
                <w:kern w:val="0"/>
                <w:sz w:val="20"/>
                <w:szCs w:val="20"/>
              </w:rPr>
            </w:pPr>
          </w:p>
        </w:tc>
        <w:tc>
          <w:tcPr>
            <w:tcW w:w="474" w:type="dxa"/>
            <w:tcBorders>
              <w:top w:val="nil"/>
              <w:left w:val="nil"/>
              <w:bottom w:val="nil"/>
              <w:right w:val="nil"/>
            </w:tcBorders>
            <w:shd w:val="clear" w:color="auto" w:fill="auto"/>
            <w:vAlign w:val="bottom"/>
          </w:tcPr>
          <w:p w14:paraId="209E0F06">
            <w:pPr>
              <w:widowControl/>
              <w:overflowPunct w:val="0"/>
              <w:autoSpaceDE w:val="0"/>
              <w:autoSpaceDN w:val="0"/>
              <w:spacing w:line="240" w:lineRule="auto"/>
              <w:jc w:val="left"/>
              <w:rPr>
                <w:rFonts w:ascii="Arial" w:hAnsi="Arial" w:eastAsia="宋体" w:cs="Arial"/>
                <w:color w:val="000000"/>
                <w:kern w:val="0"/>
                <w:sz w:val="20"/>
                <w:szCs w:val="20"/>
              </w:rPr>
            </w:pPr>
          </w:p>
        </w:tc>
        <w:tc>
          <w:tcPr>
            <w:tcW w:w="2116" w:type="dxa"/>
            <w:gridSpan w:val="2"/>
            <w:tcBorders>
              <w:top w:val="nil"/>
              <w:left w:val="nil"/>
              <w:bottom w:val="nil"/>
              <w:right w:val="nil"/>
            </w:tcBorders>
            <w:shd w:val="clear" w:color="auto" w:fill="auto"/>
            <w:vAlign w:val="bottom"/>
          </w:tcPr>
          <w:p w14:paraId="227A29BE">
            <w:pPr>
              <w:widowControl/>
              <w:overflowPunct w:val="0"/>
              <w:autoSpaceDE w:val="0"/>
              <w:autoSpaceDN w:val="0"/>
              <w:spacing w:line="240" w:lineRule="auto"/>
              <w:jc w:val="left"/>
              <w:rPr>
                <w:rFonts w:ascii="Arial" w:hAnsi="Arial" w:eastAsia="宋体" w:cs="Arial"/>
                <w:color w:val="000000"/>
                <w:kern w:val="0"/>
                <w:sz w:val="20"/>
                <w:szCs w:val="20"/>
              </w:rPr>
            </w:pPr>
          </w:p>
        </w:tc>
        <w:tc>
          <w:tcPr>
            <w:tcW w:w="1183" w:type="dxa"/>
            <w:tcBorders>
              <w:top w:val="nil"/>
              <w:left w:val="nil"/>
              <w:bottom w:val="nil"/>
              <w:right w:val="nil"/>
            </w:tcBorders>
            <w:shd w:val="clear" w:color="auto" w:fill="auto"/>
            <w:vAlign w:val="bottom"/>
          </w:tcPr>
          <w:p w14:paraId="22206D73">
            <w:pPr>
              <w:widowControl/>
              <w:overflowPunct w:val="0"/>
              <w:autoSpaceDE w:val="0"/>
              <w:autoSpaceDN w:val="0"/>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公开06表</w:t>
            </w:r>
          </w:p>
        </w:tc>
      </w:tr>
      <w:tr w14:paraId="0CB0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33" w:type="dxa"/>
            <w:gridSpan w:val="5"/>
            <w:tcBorders>
              <w:top w:val="nil"/>
              <w:left w:val="nil"/>
              <w:bottom w:val="single" w:color="auto" w:sz="4" w:space="0"/>
              <w:right w:val="nil"/>
            </w:tcBorders>
            <w:shd w:val="clear" w:color="auto" w:fill="auto"/>
            <w:vAlign w:val="center"/>
          </w:tcPr>
          <w:p w14:paraId="2F45C661">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单位：福州市台江区保密技术检查中心</w:t>
            </w:r>
          </w:p>
        </w:tc>
        <w:tc>
          <w:tcPr>
            <w:tcW w:w="1047" w:type="dxa"/>
            <w:tcBorders>
              <w:top w:val="nil"/>
              <w:left w:val="nil"/>
              <w:bottom w:val="single" w:color="auto" w:sz="4" w:space="0"/>
              <w:right w:val="nil"/>
            </w:tcBorders>
            <w:shd w:val="clear" w:color="auto" w:fill="auto"/>
            <w:vAlign w:val="bottom"/>
          </w:tcPr>
          <w:p w14:paraId="4C32DA19">
            <w:pPr>
              <w:widowControl/>
              <w:overflowPunct w:val="0"/>
              <w:autoSpaceDE w:val="0"/>
              <w:autoSpaceDN w:val="0"/>
              <w:spacing w:line="240" w:lineRule="auto"/>
              <w:jc w:val="left"/>
              <w:rPr>
                <w:rFonts w:ascii="Arial" w:hAnsi="Arial" w:eastAsia="宋体" w:cs="Arial"/>
                <w:color w:val="000000"/>
                <w:kern w:val="0"/>
                <w:sz w:val="20"/>
                <w:szCs w:val="20"/>
              </w:rPr>
            </w:pPr>
          </w:p>
        </w:tc>
        <w:tc>
          <w:tcPr>
            <w:tcW w:w="2179" w:type="dxa"/>
            <w:gridSpan w:val="3"/>
            <w:tcBorders>
              <w:top w:val="nil"/>
              <w:left w:val="nil"/>
              <w:bottom w:val="single" w:color="auto" w:sz="4" w:space="0"/>
              <w:right w:val="nil"/>
            </w:tcBorders>
            <w:shd w:val="clear" w:color="auto" w:fill="auto"/>
            <w:vAlign w:val="bottom"/>
          </w:tcPr>
          <w:p w14:paraId="6EA20302">
            <w:pPr>
              <w:widowControl/>
              <w:overflowPunct w:val="0"/>
              <w:autoSpaceDE w:val="0"/>
              <w:autoSpaceDN w:val="0"/>
              <w:spacing w:line="240" w:lineRule="auto"/>
              <w:jc w:val="left"/>
              <w:rPr>
                <w:rFonts w:ascii="Arial" w:hAnsi="Arial" w:eastAsia="宋体" w:cs="Arial"/>
                <w:color w:val="000000"/>
                <w:kern w:val="0"/>
                <w:sz w:val="20"/>
                <w:szCs w:val="20"/>
              </w:rPr>
            </w:pPr>
          </w:p>
        </w:tc>
        <w:tc>
          <w:tcPr>
            <w:tcW w:w="2219" w:type="dxa"/>
            <w:gridSpan w:val="2"/>
            <w:tcBorders>
              <w:top w:val="nil"/>
              <w:left w:val="nil"/>
              <w:bottom w:val="single" w:color="auto" w:sz="4" w:space="0"/>
              <w:right w:val="nil"/>
            </w:tcBorders>
            <w:shd w:val="clear" w:color="auto" w:fill="auto"/>
            <w:vAlign w:val="bottom"/>
          </w:tcPr>
          <w:p w14:paraId="31764360">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 xml:space="preserve">       单位：万元</w:t>
            </w:r>
          </w:p>
        </w:tc>
      </w:tr>
      <w:tr w14:paraId="1261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53" w:type="dxa"/>
            <w:gridSpan w:val="3"/>
            <w:tcBorders>
              <w:top w:val="single" w:color="auto" w:sz="4" w:space="0"/>
            </w:tcBorders>
            <w:shd w:val="clear" w:color="auto" w:fill="auto"/>
            <w:vAlign w:val="center"/>
          </w:tcPr>
          <w:p w14:paraId="0234D8EF">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8725" w:type="dxa"/>
            <w:gridSpan w:val="8"/>
            <w:tcBorders>
              <w:top w:val="single" w:color="auto" w:sz="4" w:space="0"/>
            </w:tcBorders>
            <w:shd w:val="clear" w:color="auto" w:fill="auto"/>
            <w:vAlign w:val="center"/>
          </w:tcPr>
          <w:p w14:paraId="52EF2B9B">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48E3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restart"/>
            <w:shd w:val="clear" w:color="auto" w:fill="auto"/>
            <w:vAlign w:val="center"/>
          </w:tcPr>
          <w:p w14:paraId="063BCF6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860" w:type="dxa"/>
            <w:vMerge w:val="restart"/>
            <w:shd w:val="clear" w:color="auto" w:fill="auto"/>
            <w:vAlign w:val="center"/>
          </w:tcPr>
          <w:p w14:paraId="20ABA9E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178" w:type="dxa"/>
            <w:vMerge w:val="restart"/>
            <w:shd w:val="clear" w:color="auto" w:fill="auto"/>
            <w:vAlign w:val="center"/>
          </w:tcPr>
          <w:p w14:paraId="53ED492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1261" w:type="dxa"/>
            <w:vMerge w:val="restart"/>
            <w:shd w:val="clear" w:color="auto" w:fill="auto"/>
            <w:vAlign w:val="center"/>
          </w:tcPr>
          <w:p w14:paraId="63F7CA7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019" w:type="dxa"/>
            <w:vMerge w:val="restart"/>
            <w:shd w:val="clear" w:color="auto" w:fill="auto"/>
            <w:vAlign w:val="center"/>
          </w:tcPr>
          <w:p w14:paraId="5C76E97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047" w:type="dxa"/>
            <w:vMerge w:val="restart"/>
            <w:shd w:val="clear" w:color="auto" w:fill="auto"/>
            <w:vAlign w:val="center"/>
          </w:tcPr>
          <w:p w14:paraId="21A22AE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1099" w:type="dxa"/>
            <w:gridSpan w:val="2"/>
            <w:vMerge w:val="restart"/>
            <w:shd w:val="clear" w:color="auto" w:fill="auto"/>
            <w:vAlign w:val="center"/>
          </w:tcPr>
          <w:p w14:paraId="2CB39F4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116" w:type="dxa"/>
            <w:gridSpan w:val="2"/>
            <w:vMerge w:val="restart"/>
            <w:shd w:val="clear" w:color="auto" w:fill="auto"/>
            <w:vAlign w:val="center"/>
          </w:tcPr>
          <w:p w14:paraId="0E0F138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183" w:type="dxa"/>
            <w:vMerge w:val="restart"/>
            <w:shd w:val="clear" w:color="auto" w:fill="auto"/>
            <w:vAlign w:val="center"/>
          </w:tcPr>
          <w:p w14:paraId="1DEE863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r>
      <w:tr w14:paraId="68DF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continue"/>
            <w:vAlign w:val="center"/>
          </w:tcPr>
          <w:p w14:paraId="09E34A6F">
            <w:pPr>
              <w:widowControl/>
              <w:overflowPunct w:val="0"/>
              <w:autoSpaceDE w:val="0"/>
              <w:autoSpaceDN w:val="0"/>
              <w:spacing w:line="240" w:lineRule="auto"/>
              <w:jc w:val="left"/>
              <w:rPr>
                <w:rFonts w:ascii="宋体" w:hAnsi="宋体" w:eastAsia="宋体" w:cs="宋体"/>
                <w:color w:val="000000"/>
                <w:kern w:val="0"/>
                <w:szCs w:val="21"/>
              </w:rPr>
            </w:pPr>
          </w:p>
        </w:tc>
        <w:tc>
          <w:tcPr>
            <w:tcW w:w="2860" w:type="dxa"/>
            <w:vMerge w:val="continue"/>
            <w:vAlign w:val="center"/>
          </w:tcPr>
          <w:p w14:paraId="428CC0D5">
            <w:pPr>
              <w:widowControl/>
              <w:overflowPunct w:val="0"/>
              <w:autoSpaceDE w:val="0"/>
              <w:autoSpaceDN w:val="0"/>
              <w:spacing w:line="240" w:lineRule="auto"/>
              <w:jc w:val="left"/>
              <w:rPr>
                <w:rFonts w:ascii="宋体" w:hAnsi="宋体" w:eastAsia="宋体" w:cs="宋体"/>
                <w:color w:val="000000"/>
                <w:kern w:val="0"/>
                <w:szCs w:val="21"/>
              </w:rPr>
            </w:pPr>
          </w:p>
        </w:tc>
        <w:tc>
          <w:tcPr>
            <w:tcW w:w="1178" w:type="dxa"/>
            <w:vMerge w:val="continue"/>
            <w:vAlign w:val="center"/>
          </w:tcPr>
          <w:p w14:paraId="69BB3206">
            <w:pPr>
              <w:widowControl/>
              <w:overflowPunct w:val="0"/>
              <w:autoSpaceDE w:val="0"/>
              <w:autoSpaceDN w:val="0"/>
              <w:spacing w:line="240" w:lineRule="auto"/>
              <w:jc w:val="left"/>
              <w:rPr>
                <w:rFonts w:ascii="宋体" w:hAnsi="宋体" w:eastAsia="宋体" w:cs="宋体"/>
                <w:color w:val="000000"/>
                <w:kern w:val="0"/>
                <w:szCs w:val="21"/>
              </w:rPr>
            </w:pPr>
          </w:p>
        </w:tc>
        <w:tc>
          <w:tcPr>
            <w:tcW w:w="1261" w:type="dxa"/>
            <w:vMerge w:val="continue"/>
            <w:vAlign w:val="center"/>
          </w:tcPr>
          <w:p w14:paraId="2FC93820">
            <w:pPr>
              <w:widowControl/>
              <w:overflowPunct w:val="0"/>
              <w:autoSpaceDE w:val="0"/>
              <w:autoSpaceDN w:val="0"/>
              <w:spacing w:line="240" w:lineRule="auto"/>
              <w:jc w:val="left"/>
              <w:rPr>
                <w:rFonts w:ascii="宋体" w:hAnsi="宋体" w:eastAsia="宋体" w:cs="宋体"/>
                <w:color w:val="000000"/>
                <w:kern w:val="0"/>
                <w:szCs w:val="21"/>
              </w:rPr>
            </w:pPr>
          </w:p>
        </w:tc>
        <w:tc>
          <w:tcPr>
            <w:tcW w:w="2019" w:type="dxa"/>
            <w:vMerge w:val="continue"/>
            <w:vAlign w:val="center"/>
          </w:tcPr>
          <w:p w14:paraId="77C57F4A">
            <w:pPr>
              <w:widowControl/>
              <w:overflowPunct w:val="0"/>
              <w:autoSpaceDE w:val="0"/>
              <w:autoSpaceDN w:val="0"/>
              <w:spacing w:line="240" w:lineRule="auto"/>
              <w:jc w:val="left"/>
              <w:rPr>
                <w:rFonts w:ascii="宋体" w:hAnsi="宋体" w:eastAsia="宋体" w:cs="宋体"/>
                <w:color w:val="000000"/>
                <w:kern w:val="0"/>
                <w:szCs w:val="21"/>
              </w:rPr>
            </w:pPr>
          </w:p>
        </w:tc>
        <w:tc>
          <w:tcPr>
            <w:tcW w:w="1047" w:type="dxa"/>
            <w:vMerge w:val="continue"/>
            <w:vAlign w:val="center"/>
          </w:tcPr>
          <w:p w14:paraId="626AE0F8">
            <w:pPr>
              <w:widowControl/>
              <w:overflowPunct w:val="0"/>
              <w:autoSpaceDE w:val="0"/>
              <w:autoSpaceDN w:val="0"/>
              <w:spacing w:line="240" w:lineRule="auto"/>
              <w:jc w:val="left"/>
              <w:rPr>
                <w:rFonts w:ascii="宋体" w:hAnsi="宋体" w:eastAsia="宋体" w:cs="宋体"/>
                <w:color w:val="000000"/>
                <w:kern w:val="0"/>
                <w:szCs w:val="21"/>
              </w:rPr>
            </w:pPr>
          </w:p>
        </w:tc>
        <w:tc>
          <w:tcPr>
            <w:tcW w:w="1099" w:type="dxa"/>
            <w:gridSpan w:val="2"/>
            <w:vMerge w:val="continue"/>
            <w:vAlign w:val="center"/>
          </w:tcPr>
          <w:p w14:paraId="2C360B60">
            <w:pPr>
              <w:widowControl/>
              <w:overflowPunct w:val="0"/>
              <w:autoSpaceDE w:val="0"/>
              <w:autoSpaceDN w:val="0"/>
              <w:spacing w:line="240" w:lineRule="auto"/>
              <w:jc w:val="left"/>
              <w:rPr>
                <w:rFonts w:ascii="宋体" w:hAnsi="宋体" w:eastAsia="宋体" w:cs="宋体"/>
                <w:color w:val="000000"/>
                <w:kern w:val="0"/>
                <w:szCs w:val="21"/>
              </w:rPr>
            </w:pPr>
          </w:p>
        </w:tc>
        <w:tc>
          <w:tcPr>
            <w:tcW w:w="2116" w:type="dxa"/>
            <w:gridSpan w:val="2"/>
            <w:vMerge w:val="continue"/>
            <w:vAlign w:val="center"/>
          </w:tcPr>
          <w:p w14:paraId="5A591583">
            <w:pPr>
              <w:widowControl/>
              <w:overflowPunct w:val="0"/>
              <w:autoSpaceDE w:val="0"/>
              <w:autoSpaceDN w:val="0"/>
              <w:spacing w:line="240" w:lineRule="auto"/>
              <w:jc w:val="left"/>
              <w:rPr>
                <w:rFonts w:ascii="宋体" w:hAnsi="宋体" w:eastAsia="宋体" w:cs="宋体"/>
                <w:color w:val="000000"/>
                <w:kern w:val="0"/>
                <w:szCs w:val="21"/>
              </w:rPr>
            </w:pPr>
          </w:p>
        </w:tc>
        <w:tc>
          <w:tcPr>
            <w:tcW w:w="1183" w:type="dxa"/>
            <w:vMerge w:val="continue"/>
            <w:vAlign w:val="center"/>
          </w:tcPr>
          <w:p w14:paraId="390BA0AD">
            <w:pPr>
              <w:widowControl/>
              <w:overflowPunct w:val="0"/>
              <w:autoSpaceDE w:val="0"/>
              <w:autoSpaceDN w:val="0"/>
              <w:spacing w:line="240" w:lineRule="auto"/>
              <w:jc w:val="left"/>
              <w:rPr>
                <w:rFonts w:ascii="宋体" w:hAnsi="宋体" w:eastAsia="宋体" w:cs="宋体"/>
                <w:color w:val="000000"/>
                <w:kern w:val="0"/>
                <w:szCs w:val="21"/>
              </w:rPr>
            </w:pPr>
          </w:p>
        </w:tc>
      </w:tr>
      <w:tr w14:paraId="7F75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15" w:type="dxa"/>
            <w:vMerge w:val="continue"/>
            <w:vAlign w:val="center"/>
          </w:tcPr>
          <w:p w14:paraId="1F95E99F">
            <w:pPr>
              <w:widowControl/>
              <w:overflowPunct w:val="0"/>
              <w:autoSpaceDE w:val="0"/>
              <w:autoSpaceDN w:val="0"/>
              <w:spacing w:line="240" w:lineRule="auto"/>
              <w:jc w:val="left"/>
              <w:rPr>
                <w:rFonts w:ascii="宋体" w:hAnsi="宋体" w:eastAsia="宋体" w:cs="宋体"/>
                <w:color w:val="000000"/>
                <w:kern w:val="0"/>
                <w:szCs w:val="21"/>
              </w:rPr>
            </w:pPr>
          </w:p>
        </w:tc>
        <w:tc>
          <w:tcPr>
            <w:tcW w:w="2860" w:type="dxa"/>
            <w:vMerge w:val="continue"/>
            <w:vAlign w:val="center"/>
          </w:tcPr>
          <w:p w14:paraId="35204B69">
            <w:pPr>
              <w:widowControl/>
              <w:overflowPunct w:val="0"/>
              <w:autoSpaceDE w:val="0"/>
              <w:autoSpaceDN w:val="0"/>
              <w:spacing w:line="240" w:lineRule="auto"/>
              <w:jc w:val="left"/>
              <w:rPr>
                <w:rFonts w:ascii="宋体" w:hAnsi="宋体" w:eastAsia="宋体" w:cs="宋体"/>
                <w:color w:val="000000"/>
                <w:kern w:val="0"/>
                <w:szCs w:val="21"/>
              </w:rPr>
            </w:pPr>
          </w:p>
        </w:tc>
        <w:tc>
          <w:tcPr>
            <w:tcW w:w="1178" w:type="dxa"/>
            <w:vMerge w:val="continue"/>
            <w:vAlign w:val="center"/>
          </w:tcPr>
          <w:p w14:paraId="78FE32EA">
            <w:pPr>
              <w:widowControl/>
              <w:overflowPunct w:val="0"/>
              <w:autoSpaceDE w:val="0"/>
              <w:autoSpaceDN w:val="0"/>
              <w:spacing w:line="240" w:lineRule="auto"/>
              <w:jc w:val="left"/>
              <w:rPr>
                <w:rFonts w:ascii="宋体" w:hAnsi="宋体" w:eastAsia="宋体" w:cs="宋体"/>
                <w:color w:val="000000"/>
                <w:kern w:val="0"/>
                <w:szCs w:val="21"/>
              </w:rPr>
            </w:pPr>
          </w:p>
        </w:tc>
        <w:tc>
          <w:tcPr>
            <w:tcW w:w="1261" w:type="dxa"/>
            <w:vMerge w:val="continue"/>
            <w:vAlign w:val="center"/>
          </w:tcPr>
          <w:p w14:paraId="5D374FE4">
            <w:pPr>
              <w:widowControl/>
              <w:overflowPunct w:val="0"/>
              <w:autoSpaceDE w:val="0"/>
              <w:autoSpaceDN w:val="0"/>
              <w:spacing w:line="240" w:lineRule="auto"/>
              <w:jc w:val="left"/>
              <w:rPr>
                <w:rFonts w:ascii="宋体" w:hAnsi="宋体" w:eastAsia="宋体" w:cs="宋体"/>
                <w:color w:val="000000"/>
                <w:kern w:val="0"/>
                <w:szCs w:val="21"/>
              </w:rPr>
            </w:pPr>
          </w:p>
        </w:tc>
        <w:tc>
          <w:tcPr>
            <w:tcW w:w="2019" w:type="dxa"/>
            <w:vMerge w:val="continue"/>
            <w:vAlign w:val="center"/>
          </w:tcPr>
          <w:p w14:paraId="7F918FEB">
            <w:pPr>
              <w:widowControl/>
              <w:overflowPunct w:val="0"/>
              <w:autoSpaceDE w:val="0"/>
              <w:autoSpaceDN w:val="0"/>
              <w:spacing w:line="240" w:lineRule="auto"/>
              <w:jc w:val="left"/>
              <w:rPr>
                <w:rFonts w:ascii="宋体" w:hAnsi="宋体" w:eastAsia="宋体" w:cs="宋体"/>
                <w:color w:val="000000"/>
                <w:kern w:val="0"/>
                <w:szCs w:val="21"/>
              </w:rPr>
            </w:pPr>
          </w:p>
        </w:tc>
        <w:tc>
          <w:tcPr>
            <w:tcW w:w="1047" w:type="dxa"/>
            <w:vMerge w:val="continue"/>
            <w:vAlign w:val="center"/>
          </w:tcPr>
          <w:p w14:paraId="6FDE1ECA">
            <w:pPr>
              <w:widowControl/>
              <w:overflowPunct w:val="0"/>
              <w:autoSpaceDE w:val="0"/>
              <w:autoSpaceDN w:val="0"/>
              <w:spacing w:line="240" w:lineRule="auto"/>
              <w:jc w:val="left"/>
              <w:rPr>
                <w:rFonts w:ascii="宋体" w:hAnsi="宋体" w:eastAsia="宋体" w:cs="宋体"/>
                <w:color w:val="000000"/>
                <w:kern w:val="0"/>
                <w:szCs w:val="21"/>
              </w:rPr>
            </w:pPr>
          </w:p>
        </w:tc>
        <w:tc>
          <w:tcPr>
            <w:tcW w:w="1099" w:type="dxa"/>
            <w:gridSpan w:val="2"/>
            <w:vMerge w:val="continue"/>
            <w:vAlign w:val="center"/>
          </w:tcPr>
          <w:p w14:paraId="715B61FF">
            <w:pPr>
              <w:widowControl/>
              <w:overflowPunct w:val="0"/>
              <w:autoSpaceDE w:val="0"/>
              <w:autoSpaceDN w:val="0"/>
              <w:spacing w:line="240" w:lineRule="auto"/>
              <w:jc w:val="left"/>
              <w:rPr>
                <w:rFonts w:ascii="宋体" w:hAnsi="宋体" w:eastAsia="宋体" w:cs="宋体"/>
                <w:color w:val="000000"/>
                <w:kern w:val="0"/>
                <w:szCs w:val="21"/>
              </w:rPr>
            </w:pPr>
          </w:p>
        </w:tc>
        <w:tc>
          <w:tcPr>
            <w:tcW w:w="2116" w:type="dxa"/>
            <w:gridSpan w:val="2"/>
            <w:vMerge w:val="continue"/>
            <w:vAlign w:val="center"/>
          </w:tcPr>
          <w:p w14:paraId="0E70C400">
            <w:pPr>
              <w:widowControl/>
              <w:overflowPunct w:val="0"/>
              <w:autoSpaceDE w:val="0"/>
              <w:autoSpaceDN w:val="0"/>
              <w:spacing w:line="240" w:lineRule="auto"/>
              <w:jc w:val="left"/>
              <w:rPr>
                <w:rFonts w:ascii="宋体" w:hAnsi="宋体" w:eastAsia="宋体" w:cs="宋体"/>
                <w:color w:val="000000"/>
                <w:kern w:val="0"/>
                <w:szCs w:val="21"/>
              </w:rPr>
            </w:pPr>
          </w:p>
        </w:tc>
        <w:tc>
          <w:tcPr>
            <w:tcW w:w="1183" w:type="dxa"/>
            <w:vMerge w:val="continue"/>
            <w:vAlign w:val="center"/>
          </w:tcPr>
          <w:p w14:paraId="3DA9D581">
            <w:pPr>
              <w:widowControl/>
              <w:overflowPunct w:val="0"/>
              <w:autoSpaceDE w:val="0"/>
              <w:autoSpaceDN w:val="0"/>
              <w:spacing w:line="240" w:lineRule="auto"/>
              <w:jc w:val="left"/>
              <w:rPr>
                <w:rFonts w:ascii="宋体" w:hAnsi="宋体" w:eastAsia="宋体" w:cs="宋体"/>
                <w:color w:val="000000"/>
                <w:kern w:val="0"/>
                <w:szCs w:val="21"/>
              </w:rPr>
            </w:pPr>
          </w:p>
        </w:tc>
      </w:tr>
      <w:tr w14:paraId="2BB4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001897B7">
            <w:pPr>
              <w:overflowPunct w:val="0"/>
              <w:autoSpaceDE w:val="0"/>
              <w:autoSpaceDN w:val="0"/>
              <w:rPr>
                <w:rFonts w:ascii="宋体" w:hAnsi="宋体" w:eastAsia="宋体" w:cs="宋体"/>
                <w:szCs w:val="21"/>
              </w:rPr>
            </w:pPr>
            <w:r>
              <w:rPr>
                <w:rFonts w:hint="eastAsia" w:ascii="宋体" w:hAnsi="宋体" w:eastAsia="宋体" w:cs="宋体"/>
                <w:szCs w:val="21"/>
              </w:rPr>
              <w:t>301</w:t>
            </w:r>
          </w:p>
        </w:tc>
        <w:tc>
          <w:tcPr>
            <w:tcW w:w="2860" w:type="dxa"/>
            <w:shd w:val="clear" w:color="auto" w:fill="auto"/>
          </w:tcPr>
          <w:p w14:paraId="713B9E1D">
            <w:pPr>
              <w:overflowPunct w:val="0"/>
              <w:autoSpaceDE w:val="0"/>
              <w:autoSpaceDN w:val="0"/>
              <w:jc w:val="left"/>
              <w:rPr>
                <w:rFonts w:ascii="宋体" w:hAnsi="宋体" w:eastAsia="宋体" w:cs="宋体"/>
                <w:szCs w:val="21"/>
              </w:rPr>
            </w:pPr>
            <w:r>
              <w:rPr>
                <w:rFonts w:hint="eastAsia" w:ascii="宋体" w:hAnsi="宋体" w:eastAsia="宋体" w:cs="宋体"/>
                <w:szCs w:val="21"/>
              </w:rPr>
              <w:t>工资福利支出</w:t>
            </w:r>
          </w:p>
        </w:tc>
        <w:tc>
          <w:tcPr>
            <w:tcW w:w="1178" w:type="dxa"/>
            <w:shd w:val="clear" w:color="auto" w:fill="auto"/>
          </w:tcPr>
          <w:p w14:paraId="528564B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133.46</w:t>
            </w:r>
          </w:p>
        </w:tc>
        <w:tc>
          <w:tcPr>
            <w:tcW w:w="1261" w:type="dxa"/>
            <w:shd w:val="clear" w:color="auto" w:fill="auto"/>
          </w:tcPr>
          <w:p w14:paraId="6D4781F1">
            <w:pPr>
              <w:overflowPunct w:val="0"/>
              <w:autoSpaceDE w:val="0"/>
              <w:autoSpaceDN w:val="0"/>
              <w:rPr>
                <w:rFonts w:ascii="宋体" w:hAnsi="宋体" w:eastAsia="宋体" w:cs="宋体"/>
                <w:szCs w:val="21"/>
              </w:rPr>
            </w:pPr>
            <w:r>
              <w:rPr>
                <w:rFonts w:hint="eastAsia" w:ascii="宋体" w:hAnsi="宋体" w:eastAsia="宋体" w:cs="宋体"/>
                <w:szCs w:val="21"/>
              </w:rPr>
              <w:t>302</w:t>
            </w:r>
          </w:p>
        </w:tc>
        <w:tc>
          <w:tcPr>
            <w:tcW w:w="2019" w:type="dxa"/>
            <w:shd w:val="clear" w:color="auto" w:fill="auto"/>
          </w:tcPr>
          <w:p w14:paraId="2A67DD27">
            <w:pPr>
              <w:overflowPunct w:val="0"/>
              <w:autoSpaceDE w:val="0"/>
              <w:autoSpaceDN w:val="0"/>
              <w:jc w:val="left"/>
              <w:rPr>
                <w:rFonts w:ascii="宋体" w:hAnsi="宋体" w:eastAsia="宋体" w:cs="宋体"/>
                <w:szCs w:val="21"/>
              </w:rPr>
            </w:pPr>
            <w:r>
              <w:rPr>
                <w:rFonts w:hint="eastAsia" w:ascii="宋体" w:hAnsi="宋体" w:eastAsia="宋体" w:cs="宋体"/>
                <w:szCs w:val="21"/>
              </w:rPr>
              <w:t>商品和服务支出</w:t>
            </w:r>
          </w:p>
        </w:tc>
        <w:tc>
          <w:tcPr>
            <w:tcW w:w="1047" w:type="dxa"/>
            <w:shd w:val="clear" w:color="auto" w:fill="auto"/>
          </w:tcPr>
          <w:p w14:paraId="0C97E9C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3.96</w:t>
            </w:r>
          </w:p>
        </w:tc>
        <w:tc>
          <w:tcPr>
            <w:tcW w:w="1099" w:type="dxa"/>
            <w:gridSpan w:val="2"/>
            <w:shd w:val="clear" w:color="auto" w:fill="auto"/>
          </w:tcPr>
          <w:p w14:paraId="10090609">
            <w:pPr>
              <w:overflowPunct w:val="0"/>
              <w:autoSpaceDE w:val="0"/>
              <w:autoSpaceDN w:val="0"/>
              <w:rPr>
                <w:rFonts w:ascii="宋体" w:hAnsi="宋体" w:eastAsia="宋体" w:cs="宋体"/>
                <w:szCs w:val="21"/>
              </w:rPr>
            </w:pPr>
            <w:r>
              <w:rPr>
                <w:rFonts w:hint="eastAsia" w:ascii="宋体" w:hAnsi="宋体" w:eastAsia="宋体" w:cs="宋体"/>
                <w:szCs w:val="21"/>
              </w:rPr>
              <w:t>30703</w:t>
            </w:r>
          </w:p>
        </w:tc>
        <w:tc>
          <w:tcPr>
            <w:tcW w:w="2116" w:type="dxa"/>
            <w:gridSpan w:val="2"/>
            <w:shd w:val="clear" w:color="auto" w:fill="auto"/>
          </w:tcPr>
          <w:p w14:paraId="74CEB56F">
            <w:pPr>
              <w:overflowPunct w:val="0"/>
              <w:autoSpaceDE w:val="0"/>
              <w:autoSpaceDN w:val="0"/>
              <w:jc w:val="left"/>
              <w:rPr>
                <w:rFonts w:ascii="宋体" w:hAnsi="宋体" w:eastAsia="宋体" w:cs="宋体"/>
                <w:szCs w:val="21"/>
              </w:rPr>
            </w:pPr>
            <w:r>
              <w:rPr>
                <w:rFonts w:hint="eastAsia" w:ascii="宋体" w:hAnsi="宋体" w:eastAsia="宋体" w:cs="宋体"/>
                <w:szCs w:val="21"/>
              </w:rPr>
              <w:t>国内债务发行费用</w:t>
            </w:r>
          </w:p>
        </w:tc>
        <w:tc>
          <w:tcPr>
            <w:tcW w:w="1183" w:type="dxa"/>
            <w:shd w:val="clear" w:color="auto" w:fill="auto"/>
          </w:tcPr>
          <w:p w14:paraId="0386C27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853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08A3CED1">
            <w:pPr>
              <w:overflowPunct w:val="0"/>
              <w:autoSpaceDE w:val="0"/>
              <w:autoSpaceDN w:val="0"/>
              <w:rPr>
                <w:rFonts w:ascii="宋体" w:hAnsi="宋体" w:eastAsia="宋体" w:cs="宋体"/>
                <w:szCs w:val="21"/>
              </w:rPr>
            </w:pPr>
            <w:r>
              <w:rPr>
                <w:rFonts w:hint="eastAsia" w:ascii="宋体" w:hAnsi="宋体" w:eastAsia="宋体" w:cs="宋体"/>
                <w:szCs w:val="21"/>
              </w:rPr>
              <w:t>30101</w:t>
            </w:r>
          </w:p>
        </w:tc>
        <w:tc>
          <w:tcPr>
            <w:tcW w:w="2860" w:type="dxa"/>
            <w:shd w:val="clear" w:color="auto" w:fill="auto"/>
          </w:tcPr>
          <w:p w14:paraId="22EB6641">
            <w:pPr>
              <w:overflowPunct w:val="0"/>
              <w:autoSpaceDE w:val="0"/>
              <w:autoSpaceDN w:val="0"/>
              <w:jc w:val="left"/>
              <w:rPr>
                <w:rFonts w:ascii="宋体" w:hAnsi="宋体" w:eastAsia="宋体" w:cs="宋体"/>
                <w:szCs w:val="21"/>
              </w:rPr>
            </w:pPr>
            <w:r>
              <w:rPr>
                <w:rFonts w:hint="eastAsia" w:ascii="宋体" w:hAnsi="宋体" w:eastAsia="宋体" w:cs="宋体"/>
                <w:szCs w:val="21"/>
              </w:rPr>
              <w:t>基本工资</w:t>
            </w:r>
          </w:p>
        </w:tc>
        <w:tc>
          <w:tcPr>
            <w:tcW w:w="1178" w:type="dxa"/>
            <w:shd w:val="clear" w:color="auto" w:fill="auto"/>
            <w:vAlign w:val="center"/>
          </w:tcPr>
          <w:p w14:paraId="23D880F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22.86</w:t>
            </w:r>
          </w:p>
        </w:tc>
        <w:tc>
          <w:tcPr>
            <w:tcW w:w="1261" w:type="dxa"/>
            <w:shd w:val="clear" w:color="auto" w:fill="auto"/>
          </w:tcPr>
          <w:p w14:paraId="49DB99E4">
            <w:pPr>
              <w:overflowPunct w:val="0"/>
              <w:autoSpaceDE w:val="0"/>
              <w:autoSpaceDN w:val="0"/>
              <w:rPr>
                <w:rFonts w:ascii="宋体" w:hAnsi="宋体" w:eastAsia="宋体" w:cs="宋体"/>
                <w:szCs w:val="21"/>
              </w:rPr>
            </w:pPr>
            <w:r>
              <w:rPr>
                <w:rFonts w:hint="eastAsia" w:ascii="宋体" w:hAnsi="宋体" w:eastAsia="宋体" w:cs="宋体"/>
                <w:szCs w:val="21"/>
              </w:rPr>
              <w:t>30201</w:t>
            </w:r>
          </w:p>
        </w:tc>
        <w:tc>
          <w:tcPr>
            <w:tcW w:w="2019" w:type="dxa"/>
            <w:shd w:val="clear" w:color="auto" w:fill="auto"/>
          </w:tcPr>
          <w:p w14:paraId="7FC6F119">
            <w:pPr>
              <w:overflowPunct w:val="0"/>
              <w:autoSpaceDE w:val="0"/>
              <w:autoSpaceDN w:val="0"/>
              <w:jc w:val="left"/>
              <w:rPr>
                <w:rFonts w:ascii="宋体" w:hAnsi="宋体" w:eastAsia="宋体" w:cs="宋体"/>
                <w:szCs w:val="21"/>
              </w:rPr>
            </w:pPr>
            <w:r>
              <w:rPr>
                <w:rFonts w:hint="eastAsia" w:ascii="宋体" w:hAnsi="宋体" w:eastAsia="宋体" w:cs="宋体"/>
                <w:szCs w:val="21"/>
              </w:rPr>
              <w:t>办公费</w:t>
            </w:r>
          </w:p>
        </w:tc>
        <w:tc>
          <w:tcPr>
            <w:tcW w:w="1047" w:type="dxa"/>
            <w:shd w:val="clear" w:color="auto" w:fill="auto"/>
          </w:tcPr>
          <w:p w14:paraId="740BF93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AFEA6C1">
            <w:pPr>
              <w:overflowPunct w:val="0"/>
              <w:autoSpaceDE w:val="0"/>
              <w:autoSpaceDN w:val="0"/>
              <w:rPr>
                <w:rFonts w:ascii="宋体" w:hAnsi="宋体" w:eastAsia="宋体" w:cs="宋体"/>
                <w:szCs w:val="21"/>
              </w:rPr>
            </w:pPr>
            <w:r>
              <w:rPr>
                <w:rFonts w:hint="eastAsia" w:ascii="宋体" w:hAnsi="宋体" w:eastAsia="宋体" w:cs="宋体"/>
                <w:szCs w:val="21"/>
              </w:rPr>
              <w:t>30704</w:t>
            </w:r>
          </w:p>
        </w:tc>
        <w:tc>
          <w:tcPr>
            <w:tcW w:w="2116" w:type="dxa"/>
            <w:gridSpan w:val="2"/>
            <w:shd w:val="clear" w:color="auto" w:fill="auto"/>
          </w:tcPr>
          <w:p w14:paraId="5F262F14">
            <w:pPr>
              <w:overflowPunct w:val="0"/>
              <w:autoSpaceDE w:val="0"/>
              <w:autoSpaceDN w:val="0"/>
              <w:jc w:val="left"/>
              <w:rPr>
                <w:rFonts w:ascii="宋体" w:hAnsi="宋体" w:eastAsia="宋体" w:cs="宋体"/>
                <w:szCs w:val="21"/>
              </w:rPr>
            </w:pPr>
            <w:r>
              <w:rPr>
                <w:rFonts w:hint="eastAsia" w:ascii="宋体" w:hAnsi="宋体" w:eastAsia="宋体" w:cs="宋体"/>
                <w:szCs w:val="21"/>
              </w:rPr>
              <w:t>国外债务发行费用</w:t>
            </w:r>
          </w:p>
        </w:tc>
        <w:tc>
          <w:tcPr>
            <w:tcW w:w="1183" w:type="dxa"/>
            <w:shd w:val="clear" w:color="auto" w:fill="auto"/>
          </w:tcPr>
          <w:p w14:paraId="43B1361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7C6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65FC0F5A">
            <w:pPr>
              <w:overflowPunct w:val="0"/>
              <w:autoSpaceDE w:val="0"/>
              <w:autoSpaceDN w:val="0"/>
              <w:rPr>
                <w:rFonts w:ascii="宋体" w:hAnsi="宋体" w:eastAsia="宋体" w:cs="宋体"/>
                <w:szCs w:val="21"/>
              </w:rPr>
            </w:pPr>
            <w:r>
              <w:rPr>
                <w:rFonts w:hint="eastAsia" w:ascii="宋体" w:hAnsi="宋体" w:eastAsia="宋体" w:cs="宋体"/>
                <w:szCs w:val="21"/>
              </w:rPr>
              <w:t>30102</w:t>
            </w:r>
          </w:p>
        </w:tc>
        <w:tc>
          <w:tcPr>
            <w:tcW w:w="2860" w:type="dxa"/>
            <w:shd w:val="clear" w:color="auto" w:fill="auto"/>
          </w:tcPr>
          <w:p w14:paraId="59DDF832">
            <w:pPr>
              <w:overflowPunct w:val="0"/>
              <w:autoSpaceDE w:val="0"/>
              <w:autoSpaceDN w:val="0"/>
              <w:jc w:val="left"/>
              <w:rPr>
                <w:rFonts w:ascii="宋体" w:hAnsi="宋体" w:eastAsia="宋体" w:cs="宋体"/>
                <w:szCs w:val="21"/>
              </w:rPr>
            </w:pPr>
            <w:r>
              <w:rPr>
                <w:rFonts w:hint="eastAsia" w:ascii="宋体" w:hAnsi="宋体" w:eastAsia="宋体" w:cs="宋体"/>
                <w:szCs w:val="21"/>
              </w:rPr>
              <w:t>津贴补贴</w:t>
            </w:r>
          </w:p>
        </w:tc>
        <w:tc>
          <w:tcPr>
            <w:tcW w:w="1178" w:type="dxa"/>
            <w:shd w:val="clear" w:color="auto" w:fill="auto"/>
            <w:vAlign w:val="center"/>
          </w:tcPr>
          <w:p w14:paraId="53A96AC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23.47</w:t>
            </w:r>
          </w:p>
        </w:tc>
        <w:tc>
          <w:tcPr>
            <w:tcW w:w="1261" w:type="dxa"/>
            <w:shd w:val="clear" w:color="auto" w:fill="auto"/>
          </w:tcPr>
          <w:p w14:paraId="77A91B3C">
            <w:pPr>
              <w:overflowPunct w:val="0"/>
              <w:autoSpaceDE w:val="0"/>
              <w:autoSpaceDN w:val="0"/>
              <w:rPr>
                <w:rFonts w:ascii="宋体" w:hAnsi="宋体" w:eastAsia="宋体" w:cs="宋体"/>
                <w:szCs w:val="21"/>
              </w:rPr>
            </w:pPr>
            <w:r>
              <w:rPr>
                <w:rFonts w:hint="eastAsia" w:ascii="宋体" w:hAnsi="宋体" w:eastAsia="宋体" w:cs="宋体"/>
                <w:szCs w:val="21"/>
              </w:rPr>
              <w:t>30202</w:t>
            </w:r>
          </w:p>
        </w:tc>
        <w:tc>
          <w:tcPr>
            <w:tcW w:w="2019" w:type="dxa"/>
            <w:shd w:val="clear" w:color="auto" w:fill="auto"/>
          </w:tcPr>
          <w:p w14:paraId="5F214474">
            <w:pPr>
              <w:overflowPunct w:val="0"/>
              <w:autoSpaceDE w:val="0"/>
              <w:autoSpaceDN w:val="0"/>
              <w:jc w:val="left"/>
              <w:rPr>
                <w:rFonts w:ascii="宋体" w:hAnsi="宋体" w:eastAsia="宋体" w:cs="宋体"/>
                <w:szCs w:val="21"/>
              </w:rPr>
            </w:pPr>
            <w:r>
              <w:rPr>
                <w:rFonts w:hint="eastAsia" w:ascii="宋体" w:hAnsi="宋体" w:eastAsia="宋体" w:cs="宋体"/>
                <w:szCs w:val="21"/>
              </w:rPr>
              <w:t>印刷费</w:t>
            </w:r>
          </w:p>
        </w:tc>
        <w:tc>
          <w:tcPr>
            <w:tcW w:w="1047" w:type="dxa"/>
            <w:shd w:val="clear" w:color="auto" w:fill="auto"/>
          </w:tcPr>
          <w:p w14:paraId="1FF3BEF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7EA6ABB">
            <w:pPr>
              <w:overflowPunct w:val="0"/>
              <w:autoSpaceDE w:val="0"/>
              <w:autoSpaceDN w:val="0"/>
              <w:rPr>
                <w:rFonts w:ascii="宋体" w:hAnsi="宋体" w:eastAsia="宋体" w:cs="宋体"/>
                <w:szCs w:val="21"/>
              </w:rPr>
            </w:pPr>
            <w:r>
              <w:rPr>
                <w:rFonts w:hint="eastAsia" w:ascii="宋体" w:hAnsi="宋体" w:eastAsia="宋体" w:cs="宋体"/>
                <w:szCs w:val="21"/>
              </w:rPr>
              <w:t>310</w:t>
            </w:r>
          </w:p>
        </w:tc>
        <w:tc>
          <w:tcPr>
            <w:tcW w:w="2116" w:type="dxa"/>
            <w:gridSpan w:val="2"/>
            <w:shd w:val="clear" w:color="auto" w:fill="auto"/>
          </w:tcPr>
          <w:p w14:paraId="25E9EEB1">
            <w:pPr>
              <w:overflowPunct w:val="0"/>
              <w:autoSpaceDE w:val="0"/>
              <w:autoSpaceDN w:val="0"/>
              <w:jc w:val="left"/>
              <w:rPr>
                <w:rFonts w:ascii="宋体" w:hAnsi="宋体" w:eastAsia="宋体" w:cs="宋体"/>
                <w:szCs w:val="21"/>
              </w:rPr>
            </w:pPr>
            <w:r>
              <w:rPr>
                <w:rFonts w:hint="eastAsia" w:ascii="宋体" w:hAnsi="宋体" w:eastAsia="宋体" w:cs="宋体"/>
                <w:szCs w:val="21"/>
              </w:rPr>
              <w:t>资本性支出</w:t>
            </w:r>
          </w:p>
        </w:tc>
        <w:tc>
          <w:tcPr>
            <w:tcW w:w="1183" w:type="dxa"/>
            <w:shd w:val="clear" w:color="auto" w:fill="auto"/>
          </w:tcPr>
          <w:p w14:paraId="033EF8B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E28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1A7436FD">
            <w:pPr>
              <w:overflowPunct w:val="0"/>
              <w:autoSpaceDE w:val="0"/>
              <w:autoSpaceDN w:val="0"/>
              <w:rPr>
                <w:rFonts w:ascii="宋体" w:hAnsi="宋体" w:eastAsia="宋体" w:cs="宋体"/>
                <w:szCs w:val="21"/>
              </w:rPr>
            </w:pPr>
            <w:r>
              <w:rPr>
                <w:rFonts w:hint="eastAsia" w:ascii="宋体" w:hAnsi="宋体" w:eastAsia="宋体" w:cs="宋体"/>
                <w:szCs w:val="21"/>
              </w:rPr>
              <w:t>30103</w:t>
            </w:r>
          </w:p>
        </w:tc>
        <w:tc>
          <w:tcPr>
            <w:tcW w:w="2860" w:type="dxa"/>
            <w:shd w:val="clear" w:color="auto" w:fill="auto"/>
          </w:tcPr>
          <w:p w14:paraId="20D67645">
            <w:pPr>
              <w:overflowPunct w:val="0"/>
              <w:autoSpaceDE w:val="0"/>
              <w:autoSpaceDN w:val="0"/>
              <w:jc w:val="left"/>
              <w:rPr>
                <w:rFonts w:ascii="宋体" w:hAnsi="宋体" w:eastAsia="宋体" w:cs="宋体"/>
                <w:szCs w:val="21"/>
              </w:rPr>
            </w:pPr>
            <w:r>
              <w:rPr>
                <w:rFonts w:hint="eastAsia" w:ascii="宋体" w:hAnsi="宋体" w:eastAsia="宋体" w:cs="宋体"/>
                <w:szCs w:val="21"/>
              </w:rPr>
              <w:t>奖金</w:t>
            </w:r>
          </w:p>
        </w:tc>
        <w:tc>
          <w:tcPr>
            <w:tcW w:w="1178" w:type="dxa"/>
            <w:shd w:val="clear" w:color="auto" w:fill="auto"/>
            <w:vAlign w:val="center"/>
          </w:tcPr>
          <w:p w14:paraId="685E8D6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33.93</w:t>
            </w:r>
          </w:p>
        </w:tc>
        <w:tc>
          <w:tcPr>
            <w:tcW w:w="1261" w:type="dxa"/>
            <w:shd w:val="clear" w:color="auto" w:fill="auto"/>
          </w:tcPr>
          <w:p w14:paraId="672C86C8">
            <w:pPr>
              <w:overflowPunct w:val="0"/>
              <w:autoSpaceDE w:val="0"/>
              <w:autoSpaceDN w:val="0"/>
              <w:rPr>
                <w:rFonts w:ascii="宋体" w:hAnsi="宋体" w:eastAsia="宋体" w:cs="宋体"/>
                <w:szCs w:val="21"/>
              </w:rPr>
            </w:pPr>
            <w:r>
              <w:rPr>
                <w:rFonts w:hint="eastAsia" w:ascii="宋体" w:hAnsi="宋体" w:eastAsia="宋体" w:cs="宋体"/>
                <w:szCs w:val="21"/>
              </w:rPr>
              <w:t>30203</w:t>
            </w:r>
          </w:p>
        </w:tc>
        <w:tc>
          <w:tcPr>
            <w:tcW w:w="2019" w:type="dxa"/>
            <w:shd w:val="clear" w:color="auto" w:fill="auto"/>
          </w:tcPr>
          <w:p w14:paraId="1599846D">
            <w:pPr>
              <w:overflowPunct w:val="0"/>
              <w:autoSpaceDE w:val="0"/>
              <w:autoSpaceDN w:val="0"/>
              <w:jc w:val="left"/>
              <w:rPr>
                <w:rFonts w:ascii="宋体" w:hAnsi="宋体" w:eastAsia="宋体" w:cs="宋体"/>
                <w:szCs w:val="21"/>
              </w:rPr>
            </w:pPr>
            <w:r>
              <w:rPr>
                <w:rFonts w:hint="eastAsia" w:ascii="宋体" w:hAnsi="宋体" w:eastAsia="宋体" w:cs="宋体"/>
                <w:szCs w:val="21"/>
              </w:rPr>
              <w:t>咨询费</w:t>
            </w:r>
          </w:p>
        </w:tc>
        <w:tc>
          <w:tcPr>
            <w:tcW w:w="1047" w:type="dxa"/>
            <w:shd w:val="clear" w:color="auto" w:fill="auto"/>
          </w:tcPr>
          <w:p w14:paraId="312043C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431AFE03">
            <w:pPr>
              <w:overflowPunct w:val="0"/>
              <w:autoSpaceDE w:val="0"/>
              <w:autoSpaceDN w:val="0"/>
              <w:rPr>
                <w:rFonts w:ascii="宋体" w:hAnsi="宋体" w:eastAsia="宋体" w:cs="宋体"/>
                <w:szCs w:val="21"/>
              </w:rPr>
            </w:pPr>
            <w:r>
              <w:rPr>
                <w:rFonts w:hint="eastAsia" w:ascii="宋体" w:hAnsi="宋体" w:eastAsia="宋体" w:cs="宋体"/>
                <w:szCs w:val="21"/>
              </w:rPr>
              <w:t>31001</w:t>
            </w:r>
          </w:p>
        </w:tc>
        <w:tc>
          <w:tcPr>
            <w:tcW w:w="2116" w:type="dxa"/>
            <w:gridSpan w:val="2"/>
            <w:shd w:val="clear" w:color="auto" w:fill="auto"/>
          </w:tcPr>
          <w:p w14:paraId="3F2C8D3F">
            <w:pPr>
              <w:overflowPunct w:val="0"/>
              <w:autoSpaceDE w:val="0"/>
              <w:autoSpaceDN w:val="0"/>
              <w:jc w:val="left"/>
              <w:rPr>
                <w:rFonts w:ascii="宋体" w:hAnsi="宋体" w:eastAsia="宋体" w:cs="宋体"/>
                <w:szCs w:val="21"/>
              </w:rPr>
            </w:pPr>
            <w:r>
              <w:rPr>
                <w:rFonts w:hint="eastAsia" w:ascii="宋体" w:hAnsi="宋体" w:eastAsia="宋体" w:cs="宋体"/>
                <w:szCs w:val="21"/>
              </w:rPr>
              <w:t>房屋建筑物购建</w:t>
            </w:r>
          </w:p>
        </w:tc>
        <w:tc>
          <w:tcPr>
            <w:tcW w:w="1183" w:type="dxa"/>
            <w:shd w:val="clear" w:color="auto" w:fill="auto"/>
          </w:tcPr>
          <w:p w14:paraId="016157A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AEB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7E0A4E4A">
            <w:pPr>
              <w:overflowPunct w:val="0"/>
              <w:autoSpaceDE w:val="0"/>
              <w:autoSpaceDN w:val="0"/>
              <w:rPr>
                <w:rFonts w:ascii="宋体" w:hAnsi="宋体" w:eastAsia="宋体" w:cs="宋体"/>
                <w:szCs w:val="21"/>
              </w:rPr>
            </w:pPr>
            <w:r>
              <w:rPr>
                <w:rFonts w:hint="eastAsia" w:ascii="宋体" w:hAnsi="宋体" w:eastAsia="宋体" w:cs="宋体"/>
                <w:szCs w:val="21"/>
              </w:rPr>
              <w:t>30106</w:t>
            </w:r>
          </w:p>
        </w:tc>
        <w:tc>
          <w:tcPr>
            <w:tcW w:w="2860" w:type="dxa"/>
            <w:shd w:val="clear" w:color="auto" w:fill="auto"/>
          </w:tcPr>
          <w:p w14:paraId="57BB8A51">
            <w:pPr>
              <w:overflowPunct w:val="0"/>
              <w:autoSpaceDE w:val="0"/>
              <w:autoSpaceDN w:val="0"/>
              <w:jc w:val="left"/>
              <w:rPr>
                <w:rFonts w:ascii="宋体" w:hAnsi="宋体" w:eastAsia="宋体" w:cs="宋体"/>
                <w:szCs w:val="21"/>
              </w:rPr>
            </w:pPr>
            <w:r>
              <w:rPr>
                <w:rFonts w:hint="eastAsia" w:ascii="宋体" w:hAnsi="宋体" w:eastAsia="宋体" w:cs="宋体"/>
                <w:szCs w:val="21"/>
              </w:rPr>
              <w:t>伙食补助费</w:t>
            </w:r>
          </w:p>
        </w:tc>
        <w:tc>
          <w:tcPr>
            <w:tcW w:w="1178" w:type="dxa"/>
            <w:shd w:val="clear" w:color="auto" w:fill="auto"/>
            <w:vAlign w:val="center"/>
          </w:tcPr>
          <w:p w14:paraId="3CCAF00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63494ADE">
            <w:pPr>
              <w:overflowPunct w:val="0"/>
              <w:autoSpaceDE w:val="0"/>
              <w:autoSpaceDN w:val="0"/>
              <w:rPr>
                <w:rFonts w:ascii="宋体" w:hAnsi="宋体" w:eastAsia="宋体" w:cs="宋体"/>
                <w:szCs w:val="21"/>
              </w:rPr>
            </w:pPr>
            <w:r>
              <w:rPr>
                <w:rFonts w:hint="eastAsia" w:ascii="宋体" w:hAnsi="宋体" w:eastAsia="宋体" w:cs="宋体"/>
                <w:szCs w:val="21"/>
              </w:rPr>
              <w:t>30204</w:t>
            </w:r>
          </w:p>
        </w:tc>
        <w:tc>
          <w:tcPr>
            <w:tcW w:w="2019" w:type="dxa"/>
            <w:shd w:val="clear" w:color="auto" w:fill="auto"/>
          </w:tcPr>
          <w:p w14:paraId="682375C6">
            <w:pPr>
              <w:overflowPunct w:val="0"/>
              <w:autoSpaceDE w:val="0"/>
              <w:autoSpaceDN w:val="0"/>
              <w:jc w:val="left"/>
              <w:rPr>
                <w:rFonts w:ascii="宋体" w:hAnsi="宋体" w:eastAsia="宋体" w:cs="宋体"/>
                <w:szCs w:val="21"/>
              </w:rPr>
            </w:pPr>
            <w:r>
              <w:rPr>
                <w:rFonts w:hint="eastAsia" w:ascii="宋体" w:hAnsi="宋体" w:eastAsia="宋体" w:cs="宋体"/>
                <w:szCs w:val="21"/>
              </w:rPr>
              <w:t>手续费</w:t>
            </w:r>
          </w:p>
        </w:tc>
        <w:tc>
          <w:tcPr>
            <w:tcW w:w="1047" w:type="dxa"/>
            <w:shd w:val="clear" w:color="auto" w:fill="auto"/>
          </w:tcPr>
          <w:p w14:paraId="4308B86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21371EF">
            <w:pPr>
              <w:overflowPunct w:val="0"/>
              <w:autoSpaceDE w:val="0"/>
              <w:autoSpaceDN w:val="0"/>
              <w:rPr>
                <w:rFonts w:ascii="宋体" w:hAnsi="宋体" w:eastAsia="宋体" w:cs="宋体"/>
                <w:szCs w:val="21"/>
              </w:rPr>
            </w:pPr>
            <w:r>
              <w:rPr>
                <w:rFonts w:hint="eastAsia" w:ascii="宋体" w:hAnsi="宋体" w:eastAsia="宋体" w:cs="宋体"/>
                <w:szCs w:val="21"/>
              </w:rPr>
              <w:t>31002</w:t>
            </w:r>
          </w:p>
        </w:tc>
        <w:tc>
          <w:tcPr>
            <w:tcW w:w="2116" w:type="dxa"/>
            <w:gridSpan w:val="2"/>
            <w:shd w:val="clear" w:color="auto" w:fill="auto"/>
          </w:tcPr>
          <w:p w14:paraId="459BBEEF">
            <w:pPr>
              <w:overflowPunct w:val="0"/>
              <w:autoSpaceDE w:val="0"/>
              <w:autoSpaceDN w:val="0"/>
              <w:jc w:val="left"/>
              <w:rPr>
                <w:rFonts w:ascii="宋体" w:hAnsi="宋体" w:eastAsia="宋体" w:cs="宋体"/>
                <w:szCs w:val="21"/>
              </w:rPr>
            </w:pPr>
            <w:r>
              <w:rPr>
                <w:rFonts w:hint="eastAsia" w:ascii="宋体" w:hAnsi="宋体" w:eastAsia="宋体" w:cs="宋体"/>
                <w:szCs w:val="21"/>
              </w:rPr>
              <w:t>办公设备购置</w:t>
            </w:r>
          </w:p>
        </w:tc>
        <w:tc>
          <w:tcPr>
            <w:tcW w:w="1183" w:type="dxa"/>
            <w:shd w:val="clear" w:color="auto" w:fill="auto"/>
          </w:tcPr>
          <w:p w14:paraId="6D77C2C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50D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664DDFE4">
            <w:pPr>
              <w:overflowPunct w:val="0"/>
              <w:autoSpaceDE w:val="0"/>
              <w:autoSpaceDN w:val="0"/>
              <w:rPr>
                <w:rFonts w:ascii="宋体" w:hAnsi="宋体" w:eastAsia="宋体" w:cs="宋体"/>
                <w:szCs w:val="21"/>
              </w:rPr>
            </w:pPr>
            <w:r>
              <w:rPr>
                <w:rFonts w:hint="eastAsia" w:ascii="宋体" w:hAnsi="宋体" w:eastAsia="宋体" w:cs="宋体"/>
                <w:szCs w:val="21"/>
              </w:rPr>
              <w:t>30107</w:t>
            </w:r>
          </w:p>
        </w:tc>
        <w:tc>
          <w:tcPr>
            <w:tcW w:w="2860" w:type="dxa"/>
            <w:shd w:val="clear" w:color="auto" w:fill="auto"/>
          </w:tcPr>
          <w:p w14:paraId="4F868EA4">
            <w:pPr>
              <w:overflowPunct w:val="0"/>
              <w:autoSpaceDE w:val="0"/>
              <w:autoSpaceDN w:val="0"/>
              <w:jc w:val="left"/>
              <w:rPr>
                <w:rFonts w:ascii="宋体" w:hAnsi="宋体" w:eastAsia="宋体" w:cs="宋体"/>
                <w:szCs w:val="21"/>
              </w:rPr>
            </w:pPr>
            <w:r>
              <w:rPr>
                <w:rFonts w:hint="eastAsia" w:ascii="宋体" w:hAnsi="宋体" w:eastAsia="宋体" w:cs="宋体"/>
                <w:szCs w:val="21"/>
              </w:rPr>
              <w:t>绩效工资</w:t>
            </w:r>
          </w:p>
        </w:tc>
        <w:tc>
          <w:tcPr>
            <w:tcW w:w="1178" w:type="dxa"/>
            <w:shd w:val="clear" w:color="auto" w:fill="auto"/>
            <w:vAlign w:val="center"/>
          </w:tcPr>
          <w:p w14:paraId="6F214EE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14.99</w:t>
            </w:r>
          </w:p>
        </w:tc>
        <w:tc>
          <w:tcPr>
            <w:tcW w:w="1261" w:type="dxa"/>
            <w:shd w:val="clear" w:color="auto" w:fill="auto"/>
          </w:tcPr>
          <w:p w14:paraId="160C6499">
            <w:pPr>
              <w:overflowPunct w:val="0"/>
              <w:autoSpaceDE w:val="0"/>
              <w:autoSpaceDN w:val="0"/>
              <w:rPr>
                <w:rFonts w:ascii="宋体" w:hAnsi="宋体" w:eastAsia="宋体" w:cs="宋体"/>
                <w:szCs w:val="21"/>
              </w:rPr>
            </w:pPr>
            <w:r>
              <w:rPr>
                <w:rFonts w:hint="eastAsia" w:ascii="宋体" w:hAnsi="宋体" w:eastAsia="宋体" w:cs="宋体"/>
                <w:szCs w:val="21"/>
              </w:rPr>
              <w:t>30205</w:t>
            </w:r>
          </w:p>
        </w:tc>
        <w:tc>
          <w:tcPr>
            <w:tcW w:w="2019" w:type="dxa"/>
            <w:shd w:val="clear" w:color="auto" w:fill="auto"/>
          </w:tcPr>
          <w:p w14:paraId="114CFDED">
            <w:pPr>
              <w:overflowPunct w:val="0"/>
              <w:autoSpaceDE w:val="0"/>
              <w:autoSpaceDN w:val="0"/>
              <w:jc w:val="left"/>
              <w:rPr>
                <w:rFonts w:ascii="宋体" w:hAnsi="宋体" w:eastAsia="宋体" w:cs="宋体"/>
                <w:szCs w:val="21"/>
              </w:rPr>
            </w:pPr>
            <w:r>
              <w:rPr>
                <w:rFonts w:hint="eastAsia" w:ascii="宋体" w:hAnsi="宋体" w:eastAsia="宋体" w:cs="宋体"/>
                <w:szCs w:val="21"/>
              </w:rPr>
              <w:t>水费</w:t>
            </w:r>
          </w:p>
        </w:tc>
        <w:tc>
          <w:tcPr>
            <w:tcW w:w="1047" w:type="dxa"/>
            <w:shd w:val="clear" w:color="auto" w:fill="auto"/>
          </w:tcPr>
          <w:p w14:paraId="3A655CD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207FCF27">
            <w:pPr>
              <w:overflowPunct w:val="0"/>
              <w:autoSpaceDE w:val="0"/>
              <w:autoSpaceDN w:val="0"/>
              <w:rPr>
                <w:rFonts w:ascii="宋体" w:hAnsi="宋体" w:eastAsia="宋体" w:cs="宋体"/>
                <w:szCs w:val="21"/>
              </w:rPr>
            </w:pPr>
            <w:r>
              <w:rPr>
                <w:rFonts w:hint="eastAsia" w:ascii="宋体" w:hAnsi="宋体" w:eastAsia="宋体" w:cs="宋体"/>
                <w:szCs w:val="21"/>
              </w:rPr>
              <w:t>31003</w:t>
            </w:r>
          </w:p>
        </w:tc>
        <w:tc>
          <w:tcPr>
            <w:tcW w:w="2116" w:type="dxa"/>
            <w:gridSpan w:val="2"/>
            <w:shd w:val="clear" w:color="auto" w:fill="auto"/>
          </w:tcPr>
          <w:p w14:paraId="577207B3">
            <w:pPr>
              <w:overflowPunct w:val="0"/>
              <w:autoSpaceDE w:val="0"/>
              <w:autoSpaceDN w:val="0"/>
              <w:jc w:val="left"/>
              <w:rPr>
                <w:rFonts w:ascii="宋体" w:hAnsi="宋体" w:eastAsia="宋体" w:cs="宋体"/>
                <w:szCs w:val="21"/>
              </w:rPr>
            </w:pPr>
            <w:r>
              <w:rPr>
                <w:rFonts w:hint="eastAsia" w:ascii="宋体" w:hAnsi="宋体" w:eastAsia="宋体" w:cs="宋体"/>
                <w:szCs w:val="21"/>
              </w:rPr>
              <w:t>专用设备购置</w:t>
            </w:r>
          </w:p>
        </w:tc>
        <w:tc>
          <w:tcPr>
            <w:tcW w:w="1183" w:type="dxa"/>
            <w:shd w:val="clear" w:color="auto" w:fill="auto"/>
          </w:tcPr>
          <w:p w14:paraId="4334C56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A8B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2E606761">
            <w:pPr>
              <w:overflowPunct w:val="0"/>
              <w:autoSpaceDE w:val="0"/>
              <w:autoSpaceDN w:val="0"/>
              <w:rPr>
                <w:rFonts w:ascii="宋体" w:hAnsi="宋体" w:eastAsia="宋体" w:cs="宋体"/>
                <w:szCs w:val="21"/>
              </w:rPr>
            </w:pPr>
            <w:r>
              <w:rPr>
                <w:rFonts w:hint="eastAsia" w:ascii="宋体" w:hAnsi="宋体" w:eastAsia="宋体" w:cs="宋体"/>
                <w:szCs w:val="21"/>
              </w:rPr>
              <w:t>30108</w:t>
            </w:r>
          </w:p>
        </w:tc>
        <w:tc>
          <w:tcPr>
            <w:tcW w:w="2860" w:type="dxa"/>
            <w:shd w:val="clear" w:color="auto" w:fill="auto"/>
          </w:tcPr>
          <w:p w14:paraId="4FA5D9BF">
            <w:pPr>
              <w:overflowPunct w:val="0"/>
              <w:autoSpaceDE w:val="0"/>
              <w:autoSpaceDN w:val="0"/>
              <w:jc w:val="left"/>
              <w:rPr>
                <w:rFonts w:ascii="宋体" w:hAnsi="宋体" w:eastAsia="宋体" w:cs="宋体"/>
                <w:szCs w:val="21"/>
              </w:rPr>
            </w:pPr>
            <w:r>
              <w:rPr>
                <w:rFonts w:hint="eastAsia" w:ascii="宋体" w:hAnsi="宋体" w:eastAsia="宋体" w:cs="宋体"/>
                <w:szCs w:val="21"/>
              </w:rPr>
              <w:t>机关事业单位基本养老保险缴费</w:t>
            </w:r>
          </w:p>
        </w:tc>
        <w:tc>
          <w:tcPr>
            <w:tcW w:w="1178" w:type="dxa"/>
            <w:shd w:val="clear" w:color="auto" w:fill="auto"/>
            <w:vAlign w:val="center"/>
          </w:tcPr>
          <w:p w14:paraId="3DD5201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12.84</w:t>
            </w:r>
          </w:p>
        </w:tc>
        <w:tc>
          <w:tcPr>
            <w:tcW w:w="1261" w:type="dxa"/>
            <w:shd w:val="clear" w:color="auto" w:fill="auto"/>
          </w:tcPr>
          <w:p w14:paraId="5C8F5E3A">
            <w:pPr>
              <w:overflowPunct w:val="0"/>
              <w:autoSpaceDE w:val="0"/>
              <w:autoSpaceDN w:val="0"/>
              <w:rPr>
                <w:rFonts w:ascii="宋体" w:hAnsi="宋体" w:eastAsia="宋体" w:cs="宋体"/>
                <w:szCs w:val="21"/>
              </w:rPr>
            </w:pPr>
            <w:r>
              <w:rPr>
                <w:rFonts w:hint="eastAsia" w:ascii="宋体" w:hAnsi="宋体" w:eastAsia="宋体" w:cs="宋体"/>
                <w:szCs w:val="21"/>
              </w:rPr>
              <w:t>30206</w:t>
            </w:r>
          </w:p>
        </w:tc>
        <w:tc>
          <w:tcPr>
            <w:tcW w:w="2019" w:type="dxa"/>
            <w:shd w:val="clear" w:color="auto" w:fill="auto"/>
          </w:tcPr>
          <w:p w14:paraId="49C6F931">
            <w:pPr>
              <w:overflowPunct w:val="0"/>
              <w:autoSpaceDE w:val="0"/>
              <w:autoSpaceDN w:val="0"/>
              <w:jc w:val="left"/>
              <w:rPr>
                <w:rFonts w:ascii="宋体" w:hAnsi="宋体" w:eastAsia="宋体" w:cs="宋体"/>
                <w:szCs w:val="21"/>
              </w:rPr>
            </w:pPr>
            <w:r>
              <w:rPr>
                <w:rFonts w:hint="eastAsia" w:ascii="宋体" w:hAnsi="宋体" w:eastAsia="宋体" w:cs="宋体"/>
                <w:szCs w:val="21"/>
              </w:rPr>
              <w:t>电费</w:t>
            </w:r>
          </w:p>
        </w:tc>
        <w:tc>
          <w:tcPr>
            <w:tcW w:w="1047" w:type="dxa"/>
            <w:shd w:val="clear" w:color="auto" w:fill="auto"/>
          </w:tcPr>
          <w:p w14:paraId="0C155BA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BC5F4DC">
            <w:pPr>
              <w:overflowPunct w:val="0"/>
              <w:autoSpaceDE w:val="0"/>
              <w:autoSpaceDN w:val="0"/>
              <w:rPr>
                <w:rFonts w:ascii="宋体" w:hAnsi="宋体" w:eastAsia="宋体" w:cs="宋体"/>
                <w:szCs w:val="21"/>
              </w:rPr>
            </w:pPr>
            <w:r>
              <w:rPr>
                <w:rFonts w:hint="eastAsia" w:ascii="宋体" w:hAnsi="宋体" w:eastAsia="宋体" w:cs="宋体"/>
                <w:szCs w:val="21"/>
              </w:rPr>
              <w:t>31005</w:t>
            </w:r>
          </w:p>
        </w:tc>
        <w:tc>
          <w:tcPr>
            <w:tcW w:w="2116" w:type="dxa"/>
            <w:gridSpan w:val="2"/>
            <w:shd w:val="clear" w:color="auto" w:fill="auto"/>
          </w:tcPr>
          <w:p w14:paraId="7D54BEBC">
            <w:pPr>
              <w:overflowPunct w:val="0"/>
              <w:autoSpaceDE w:val="0"/>
              <w:autoSpaceDN w:val="0"/>
              <w:jc w:val="left"/>
              <w:rPr>
                <w:rFonts w:ascii="宋体" w:hAnsi="宋体" w:eastAsia="宋体" w:cs="宋体"/>
                <w:szCs w:val="21"/>
              </w:rPr>
            </w:pPr>
            <w:r>
              <w:rPr>
                <w:rFonts w:hint="eastAsia" w:ascii="宋体" w:hAnsi="宋体" w:eastAsia="宋体" w:cs="宋体"/>
                <w:szCs w:val="21"/>
              </w:rPr>
              <w:t>基础设施建设</w:t>
            </w:r>
          </w:p>
        </w:tc>
        <w:tc>
          <w:tcPr>
            <w:tcW w:w="1183" w:type="dxa"/>
            <w:shd w:val="clear" w:color="auto" w:fill="auto"/>
          </w:tcPr>
          <w:p w14:paraId="03174F2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AC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0A5ED9F">
            <w:pPr>
              <w:overflowPunct w:val="0"/>
              <w:autoSpaceDE w:val="0"/>
              <w:autoSpaceDN w:val="0"/>
              <w:rPr>
                <w:rFonts w:ascii="宋体" w:hAnsi="宋体" w:eastAsia="宋体" w:cs="宋体"/>
                <w:szCs w:val="21"/>
              </w:rPr>
            </w:pPr>
            <w:r>
              <w:rPr>
                <w:rFonts w:hint="eastAsia" w:ascii="宋体" w:hAnsi="宋体" w:eastAsia="宋体" w:cs="宋体"/>
                <w:szCs w:val="21"/>
              </w:rPr>
              <w:t>30109</w:t>
            </w:r>
          </w:p>
        </w:tc>
        <w:tc>
          <w:tcPr>
            <w:tcW w:w="2860" w:type="dxa"/>
            <w:shd w:val="clear" w:color="auto" w:fill="auto"/>
          </w:tcPr>
          <w:p w14:paraId="598E8083">
            <w:pPr>
              <w:overflowPunct w:val="0"/>
              <w:autoSpaceDE w:val="0"/>
              <w:autoSpaceDN w:val="0"/>
              <w:jc w:val="left"/>
              <w:rPr>
                <w:rFonts w:ascii="宋体" w:hAnsi="宋体" w:eastAsia="宋体" w:cs="宋体"/>
                <w:szCs w:val="21"/>
              </w:rPr>
            </w:pPr>
            <w:r>
              <w:rPr>
                <w:rFonts w:hint="eastAsia" w:ascii="宋体" w:hAnsi="宋体" w:eastAsia="宋体" w:cs="宋体"/>
                <w:szCs w:val="21"/>
              </w:rPr>
              <w:t>职业年金缴费</w:t>
            </w:r>
          </w:p>
        </w:tc>
        <w:tc>
          <w:tcPr>
            <w:tcW w:w="1178" w:type="dxa"/>
            <w:shd w:val="clear" w:color="auto" w:fill="auto"/>
            <w:vAlign w:val="center"/>
          </w:tcPr>
          <w:p w14:paraId="2572581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6.14</w:t>
            </w:r>
          </w:p>
        </w:tc>
        <w:tc>
          <w:tcPr>
            <w:tcW w:w="1261" w:type="dxa"/>
            <w:shd w:val="clear" w:color="auto" w:fill="auto"/>
          </w:tcPr>
          <w:p w14:paraId="795E1400">
            <w:pPr>
              <w:overflowPunct w:val="0"/>
              <w:autoSpaceDE w:val="0"/>
              <w:autoSpaceDN w:val="0"/>
              <w:rPr>
                <w:rFonts w:ascii="宋体" w:hAnsi="宋体" w:eastAsia="宋体" w:cs="宋体"/>
                <w:szCs w:val="21"/>
              </w:rPr>
            </w:pPr>
            <w:r>
              <w:rPr>
                <w:rFonts w:hint="eastAsia" w:ascii="宋体" w:hAnsi="宋体" w:eastAsia="宋体" w:cs="宋体"/>
                <w:szCs w:val="21"/>
              </w:rPr>
              <w:t>30207</w:t>
            </w:r>
          </w:p>
        </w:tc>
        <w:tc>
          <w:tcPr>
            <w:tcW w:w="2019" w:type="dxa"/>
            <w:shd w:val="clear" w:color="auto" w:fill="auto"/>
          </w:tcPr>
          <w:p w14:paraId="430C9A26">
            <w:pPr>
              <w:overflowPunct w:val="0"/>
              <w:autoSpaceDE w:val="0"/>
              <w:autoSpaceDN w:val="0"/>
              <w:jc w:val="left"/>
              <w:rPr>
                <w:rFonts w:ascii="宋体" w:hAnsi="宋体" w:eastAsia="宋体" w:cs="宋体"/>
                <w:szCs w:val="21"/>
              </w:rPr>
            </w:pPr>
            <w:r>
              <w:rPr>
                <w:rFonts w:hint="eastAsia" w:ascii="宋体" w:hAnsi="宋体" w:eastAsia="宋体" w:cs="宋体"/>
                <w:szCs w:val="21"/>
              </w:rPr>
              <w:t>邮电费</w:t>
            </w:r>
          </w:p>
        </w:tc>
        <w:tc>
          <w:tcPr>
            <w:tcW w:w="1047" w:type="dxa"/>
            <w:shd w:val="clear" w:color="auto" w:fill="auto"/>
          </w:tcPr>
          <w:p w14:paraId="3D23846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BBA9808">
            <w:pPr>
              <w:overflowPunct w:val="0"/>
              <w:autoSpaceDE w:val="0"/>
              <w:autoSpaceDN w:val="0"/>
              <w:rPr>
                <w:rFonts w:ascii="宋体" w:hAnsi="宋体" w:eastAsia="宋体" w:cs="宋体"/>
                <w:szCs w:val="21"/>
              </w:rPr>
            </w:pPr>
            <w:r>
              <w:rPr>
                <w:rFonts w:hint="eastAsia" w:ascii="宋体" w:hAnsi="宋体" w:eastAsia="宋体" w:cs="宋体"/>
                <w:szCs w:val="21"/>
              </w:rPr>
              <w:t>31006</w:t>
            </w:r>
          </w:p>
        </w:tc>
        <w:tc>
          <w:tcPr>
            <w:tcW w:w="2116" w:type="dxa"/>
            <w:gridSpan w:val="2"/>
            <w:shd w:val="clear" w:color="auto" w:fill="auto"/>
          </w:tcPr>
          <w:p w14:paraId="530384AC">
            <w:pPr>
              <w:overflowPunct w:val="0"/>
              <w:autoSpaceDE w:val="0"/>
              <w:autoSpaceDN w:val="0"/>
              <w:jc w:val="left"/>
              <w:rPr>
                <w:rFonts w:ascii="宋体" w:hAnsi="宋体" w:eastAsia="宋体" w:cs="宋体"/>
                <w:szCs w:val="21"/>
              </w:rPr>
            </w:pPr>
            <w:r>
              <w:rPr>
                <w:rFonts w:hint="eastAsia" w:ascii="宋体" w:hAnsi="宋体" w:eastAsia="宋体" w:cs="宋体"/>
                <w:szCs w:val="21"/>
              </w:rPr>
              <w:t>大型修缮</w:t>
            </w:r>
          </w:p>
        </w:tc>
        <w:tc>
          <w:tcPr>
            <w:tcW w:w="1183" w:type="dxa"/>
            <w:shd w:val="clear" w:color="auto" w:fill="auto"/>
          </w:tcPr>
          <w:p w14:paraId="2FD0210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7BC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tcPr>
          <w:p w14:paraId="1A1B6932">
            <w:pPr>
              <w:overflowPunct w:val="0"/>
              <w:autoSpaceDE w:val="0"/>
              <w:autoSpaceDN w:val="0"/>
              <w:rPr>
                <w:rFonts w:ascii="宋体" w:hAnsi="宋体" w:eastAsia="宋体" w:cs="宋体"/>
                <w:szCs w:val="21"/>
              </w:rPr>
            </w:pPr>
            <w:r>
              <w:rPr>
                <w:rFonts w:hint="eastAsia" w:ascii="宋体" w:hAnsi="宋体" w:eastAsia="宋体" w:cs="宋体"/>
                <w:szCs w:val="21"/>
              </w:rPr>
              <w:t>30110</w:t>
            </w:r>
          </w:p>
        </w:tc>
        <w:tc>
          <w:tcPr>
            <w:tcW w:w="2860" w:type="dxa"/>
            <w:shd w:val="clear" w:color="auto" w:fill="auto"/>
          </w:tcPr>
          <w:p w14:paraId="1DDFDA28">
            <w:pPr>
              <w:overflowPunct w:val="0"/>
              <w:autoSpaceDE w:val="0"/>
              <w:autoSpaceDN w:val="0"/>
              <w:jc w:val="left"/>
              <w:rPr>
                <w:rFonts w:ascii="宋体" w:hAnsi="宋体" w:eastAsia="宋体" w:cs="宋体"/>
                <w:szCs w:val="21"/>
              </w:rPr>
            </w:pPr>
            <w:r>
              <w:rPr>
                <w:rFonts w:hint="eastAsia" w:ascii="宋体" w:hAnsi="宋体" w:eastAsia="宋体" w:cs="宋体"/>
                <w:szCs w:val="21"/>
              </w:rPr>
              <w:t>职工基本医疗保险缴费</w:t>
            </w:r>
          </w:p>
        </w:tc>
        <w:tc>
          <w:tcPr>
            <w:tcW w:w="1178" w:type="dxa"/>
            <w:shd w:val="clear" w:color="auto" w:fill="auto"/>
            <w:vAlign w:val="center"/>
          </w:tcPr>
          <w:p w14:paraId="1FD5B39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4.29</w:t>
            </w:r>
          </w:p>
        </w:tc>
        <w:tc>
          <w:tcPr>
            <w:tcW w:w="1261" w:type="dxa"/>
            <w:shd w:val="clear" w:color="auto" w:fill="auto"/>
          </w:tcPr>
          <w:p w14:paraId="1D7D96DA">
            <w:pPr>
              <w:overflowPunct w:val="0"/>
              <w:autoSpaceDE w:val="0"/>
              <w:autoSpaceDN w:val="0"/>
              <w:rPr>
                <w:rFonts w:ascii="宋体" w:hAnsi="宋体" w:eastAsia="宋体" w:cs="宋体"/>
                <w:szCs w:val="21"/>
              </w:rPr>
            </w:pPr>
            <w:r>
              <w:rPr>
                <w:rFonts w:hint="eastAsia" w:ascii="宋体" w:hAnsi="宋体" w:eastAsia="宋体" w:cs="宋体"/>
                <w:szCs w:val="21"/>
              </w:rPr>
              <w:t>30208</w:t>
            </w:r>
          </w:p>
        </w:tc>
        <w:tc>
          <w:tcPr>
            <w:tcW w:w="2019" w:type="dxa"/>
            <w:shd w:val="clear" w:color="auto" w:fill="auto"/>
          </w:tcPr>
          <w:p w14:paraId="42F40E40">
            <w:pPr>
              <w:overflowPunct w:val="0"/>
              <w:autoSpaceDE w:val="0"/>
              <w:autoSpaceDN w:val="0"/>
              <w:jc w:val="left"/>
              <w:rPr>
                <w:rFonts w:ascii="宋体" w:hAnsi="宋体" w:eastAsia="宋体" w:cs="宋体"/>
                <w:szCs w:val="21"/>
              </w:rPr>
            </w:pPr>
            <w:r>
              <w:rPr>
                <w:rFonts w:hint="eastAsia" w:ascii="宋体" w:hAnsi="宋体" w:eastAsia="宋体" w:cs="宋体"/>
                <w:szCs w:val="21"/>
              </w:rPr>
              <w:t>取暖费</w:t>
            </w:r>
          </w:p>
        </w:tc>
        <w:tc>
          <w:tcPr>
            <w:tcW w:w="1047" w:type="dxa"/>
            <w:shd w:val="clear" w:color="auto" w:fill="auto"/>
          </w:tcPr>
          <w:p w14:paraId="09985BF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6C2A9D5C">
            <w:pPr>
              <w:overflowPunct w:val="0"/>
              <w:autoSpaceDE w:val="0"/>
              <w:autoSpaceDN w:val="0"/>
              <w:rPr>
                <w:rFonts w:ascii="宋体" w:hAnsi="宋体" w:eastAsia="宋体" w:cs="宋体"/>
                <w:szCs w:val="21"/>
              </w:rPr>
            </w:pPr>
            <w:r>
              <w:rPr>
                <w:rFonts w:hint="eastAsia" w:ascii="宋体" w:hAnsi="宋体" w:eastAsia="宋体" w:cs="宋体"/>
                <w:szCs w:val="21"/>
              </w:rPr>
              <w:t>31007</w:t>
            </w:r>
          </w:p>
        </w:tc>
        <w:tc>
          <w:tcPr>
            <w:tcW w:w="2116" w:type="dxa"/>
            <w:gridSpan w:val="2"/>
            <w:shd w:val="clear" w:color="auto" w:fill="auto"/>
          </w:tcPr>
          <w:p w14:paraId="7455D13A">
            <w:pPr>
              <w:overflowPunct w:val="0"/>
              <w:autoSpaceDE w:val="0"/>
              <w:autoSpaceDN w:val="0"/>
              <w:jc w:val="left"/>
              <w:rPr>
                <w:rFonts w:ascii="宋体" w:hAnsi="宋体" w:eastAsia="宋体" w:cs="宋体"/>
                <w:szCs w:val="21"/>
              </w:rPr>
            </w:pPr>
            <w:r>
              <w:rPr>
                <w:rFonts w:hint="eastAsia" w:ascii="宋体" w:hAnsi="宋体" w:eastAsia="宋体" w:cs="宋体"/>
                <w:szCs w:val="21"/>
              </w:rPr>
              <w:t>信息网络及软件购置更新</w:t>
            </w:r>
          </w:p>
        </w:tc>
        <w:tc>
          <w:tcPr>
            <w:tcW w:w="1183" w:type="dxa"/>
            <w:shd w:val="clear" w:color="auto" w:fill="auto"/>
          </w:tcPr>
          <w:p w14:paraId="5E18558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ACE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tcPr>
          <w:p w14:paraId="43AB00EF">
            <w:pPr>
              <w:overflowPunct w:val="0"/>
              <w:autoSpaceDE w:val="0"/>
              <w:autoSpaceDN w:val="0"/>
              <w:rPr>
                <w:rFonts w:ascii="宋体" w:hAnsi="宋体" w:eastAsia="宋体" w:cs="宋体"/>
                <w:szCs w:val="21"/>
              </w:rPr>
            </w:pPr>
            <w:r>
              <w:rPr>
                <w:rFonts w:hint="eastAsia" w:ascii="宋体" w:hAnsi="宋体" w:eastAsia="宋体" w:cs="宋体"/>
                <w:szCs w:val="21"/>
              </w:rPr>
              <w:t>30111</w:t>
            </w:r>
          </w:p>
        </w:tc>
        <w:tc>
          <w:tcPr>
            <w:tcW w:w="2860" w:type="dxa"/>
            <w:shd w:val="clear" w:color="auto" w:fill="auto"/>
          </w:tcPr>
          <w:p w14:paraId="0D6443F9">
            <w:pPr>
              <w:overflowPunct w:val="0"/>
              <w:autoSpaceDE w:val="0"/>
              <w:autoSpaceDN w:val="0"/>
              <w:jc w:val="left"/>
              <w:rPr>
                <w:rFonts w:ascii="宋体" w:hAnsi="宋体" w:eastAsia="宋体" w:cs="宋体"/>
                <w:szCs w:val="21"/>
              </w:rPr>
            </w:pPr>
            <w:r>
              <w:rPr>
                <w:rFonts w:hint="eastAsia" w:ascii="宋体" w:hAnsi="宋体" w:eastAsia="宋体" w:cs="宋体"/>
                <w:szCs w:val="21"/>
              </w:rPr>
              <w:t>公务员医疗补助缴费</w:t>
            </w:r>
          </w:p>
        </w:tc>
        <w:tc>
          <w:tcPr>
            <w:tcW w:w="1178" w:type="dxa"/>
            <w:shd w:val="clear" w:color="auto" w:fill="auto"/>
            <w:vAlign w:val="bottom"/>
          </w:tcPr>
          <w:p w14:paraId="3E6756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3.16</w:t>
            </w:r>
          </w:p>
        </w:tc>
        <w:tc>
          <w:tcPr>
            <w:tcW w:w="1261" w:type="dxa"/>
            <w:shd w:val="clear" w:color="auto" w:fill="auto"/>
          </w:tcPr>
          <w:p w14:paraId="59609BB2">
            <w:pPr>
              <w:overflowPunct w:val="0"/>
              <w:autoSpaceDE w:val="0"/>
              <w:autoSpaceDN w:val="0"/>
              <w:rPr>
                <w:rFonts w:ascii="宋体" w:hAnsi="宋体" w:eastAsia="宋体" w:cs="宋体"/>
                <w:szCs w:val="21"/>
              </w:rPr>
            </w:pPr>
            <w:r>
              <w:rPr>
                <w:rFonts w:hint="eastAsia" w:ascii="宋体" w:hAnsi="宋体" w:eastAsia="宋体" w:cs="宋体"/>
                <w:szCs w:val="21"/>
              </w:rPr>
              <w:t>30209</w:t>
            </w:r>
          </w:p>
        </w:tc>
        <w:tc>
          <w:tcPr>
            <w:tcW w:w="2019" w:type="dxa"/>
            <w:shd w:val="clear" w:color="auto" w:fill="auto"/>
          </w:tcPr>
          <w:p w14:paraId="71A16A6F">
            <w:pPr>
              <w:overflowPunct w:val="0"/>
              <w:autoSpaceDE w:val="0"/>
              <w:autoSpaceDN w:val="0"/>
              <w:jc w:val="left"/>
              <w:rPr>
                <w:rFonts w:ascii="宋体" w:hAnsi="宋体" w:eastAsia="宋体" w:cs="宋体"/>
                <w:szCs w:val="21"/>
              </w:rPr>
            </w:pPr>
            <w:r>
              <w:rPr>
                <w:rFonts w:hint="eastAsia" w:ascii="宋体" w:hAnsi="宋体" w:eastAsia="宋体" w:cs="宋体"/>
                <w:szCs w:val="21"/>
              </w:rPr>
              <w:t>物业管理费</w:t>
            </w:r>
          </w:p>
        </w:tc>
        <w:tc>
          <w:tcPr>
            <w:tcW w:w="1047" w:type="dxa"/>
            <w:shd w:val="clear" w:color="auto" w:fill="auto"/>
          </w:tcPr>
          <w:p w14:paraId="5A4003F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53D4710">
            <w:pPr>
              <w:overflowPunct w:val="0"/>
              <w:autoSpaceDE w:val="0"/>
              <w:autoSpaceDN w:val="0"/>
              <w:rPr>
                <w:rFonts w:ascii="宋体" w:hAnsi="宋体" w:eastAsia="宋体" w:cs="宋体"/>
                <w:szCs w:val="21"/>
              </w:rPr>
            </w:pPr>
            <w:r>
              <w:rPr>
                <w:rFonts w:hint="eastAsia" w:ascii="宋体" w:hAnsi="宋体" w:eastAsia="宋体" w:cs="宋体"/>
                <w:szCs w:val="21"/>
              </w:rPr>
              <w:t>31008</w:t>
            </w:r>
          </w:p>
        </w:tc>
        <w:tc>
          <w:tcPr>
            <w:tcW w:w="2116" w:type="dxa"/>
            <w:gridSpan w:val="2"/>
            <w:shd w:val="clear" w:color="auto" w:fill="auto"/>
          </w:tcPr>
          <w:p w14:paraId="397D1CD5">
            <w:pPr>
              <w:overflowPunct w:val="0"/>
              <w:autoSpaceDE w:val="0"/>
              <w:autoSpaceDN w:val="0"/>
              <w:jc w:val="left"/>
              <w:rPr>
                <w:rFonts w:ascii="宋体" w:hAnsi="宋体" w:eastAsia="宋体" w:cs="宋体"/>
                <w:szCs w:val="21"/>
              </w:rPr>
            </w:pPr>
            <w:r>
              <w:rPr>
                <w:rFonts w:hint="eastAsia" w:ascii="宋体" w:hAnsi="宋体" w:eastAsia="宋体" w:cs="宋体"/>
                <w:szCs w:val="21"/>
              </w:rPr>
              <w:t>物资储备</w:t>
            </w:r>
          </w:p>
        </w:tc>
        <w:tc>
          <w:tcPr>
            <w:tcW w:w="1183" w:type="dxa"/>
            <w:shd w:val="clear" w:color="auto" w:fill="auto"/>
          </w:tcPr>
          <w:p w14:paraId="24D5D67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1C4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7A2091AC">
            <w:pPr>
              <w:overflowPunct w:val="0"/>
              <w:autoSpaceDE w:val="0"/>
              <w:autoSpaceDN w:val="0"/>
              <w:rPr>
                <w:rFonts w:ascii="宋体" w:hAnsi="宋体" w:eastAsia="宋体" w:cs="宋体"/>
                <w:szCs w:val="21"/>
              </w:rPr>
            </w:pPr>
            <w:r>
              <w:rPr>
                <w:rFonts w:hint="eastAsia" w:ascii="宋体" w:hAnsi="宋体" w:eastAsia="宋体" w:cs="宋体"/>
                <w:szCs w:val="21"/>
              </w:rPr>
              <w:t>30112</w:t>
            </w:r>
          </w:p>
        </w:tc>
        <w:tc>
          <w:tcPr>
            <w:tcW w:w="2860" w:type="dxa"/>
            <w:shd w:val="clear" w:color="auto" w:fill="auto"/>
          </w:tcPr>
          <w:p w14:paraId="1201479B">
            <w:pPr>
              <w:overflowPunct w:val="0"/>
              <w:autoSpaceDE w:val="0"/>
              <w:autoSpaceDN w:val="0"/>
              <w:jc w:val="left"/>
              <w:rPr>
                <w:rFonts w:ascii="宋体" w:hAnsi="宋体" w:eastAsia="宋体" w:cs="宋体"/>
                <w:szCs w:val="21"/>
              </w:rPr>
            </w:pPr>
            <w:r>
              <w:rPr>
                <w:rFonts w:hint="eastAsia" w:ascii="宋体" w:hAnsi="宋体" w:eastAsia="宋体" w:cs="宋体"/>
                <w:szCs w:val="21"/>
              </w:rPr>
              <w:t>其他社会保障缴费</w:t>
            </w:r>
          </w:p>
        </w:tc>
        <w:tc>
          <w:tcPr>
            <w:tcW w:w="1178" w:type="dxa"/>
            <w:shd w:val="clear" w:color="auto" w:fill="auto"/>
          </w:tcPr>
          <w:p w14:paraId="6C74E92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0.93</w:t>
            </w:r>
          </w:p>
        </w:tc>
        <w:tc>
          <w:tcPr>
            <w:tcW w:w="1261" w:type="dxa"/>
            <w:shd w:val="clear" w:color="auto" w:fill="auto"/>
          </w:tcPr>
          <w:p w14:paraId="078A6839">
            <w:pPr>
              <w:overflowPunct w:val="0"/>
              <w:autoSpaceDE w:val="0"/>
              <w:autoSpaceDN w:val="0"/>
              <w:rPr>
                <w:rFonts w:ascii="宋体" w:hAnsi="宋体" w:eastAsia="宋体" w:cs="宋体"/>
                <w:szCs w:val="21"/>
              </w:rPr>
            </w:pPr>
            <w:r>
              <w:rPr>
                <w:rFonts w:hint="eastAsia" w:ascii="宋体" w:hAnsi="宋体" w:eastAsia="宋体" w:cs="宋体"/>
                <w:szCs w:val="21"/>
              </w:rPr>
              <w:t>30211</w:t>
            </w:r>
          </w:p>
        </w:tc>
        <w:tc>
          <w:tcPr>
            <w:tcW w:w="2019" w:type="dxa"/>
            <w:shd w:val="clear" w:color="auto" w:fill="auto"/>
          </w:tcPr>
          <w:p w14:paraId="5CE501E5">
            <w:pPr>
              <w:overflowPunct w:val="0"/>
              <w:autoSpaceDE w:val="0"/>
              <w:autoSpaceDN w:val="0"/>
              <w:jc w:val="left"/>
              <w:rPr>
                <w:rFonts w:ascii="宋体" w:hAnsi="宋体" w:eastAsia="宋体" w:cs="宋体"/>
                <w:szCs w:val="21"/>
              </w:rPr>
            </w:pPr>
            <w:r>
              <w:rPr>
                <w:rFonts w:hint="eastAsia" w:ascii="宋体" w:hAnsi="宋体" w:eastAsia="宋体" w:cs="宋体"/>
                <w:szCs w:val="21"/>
              </w:rPr>
              <w:t>差旅费</w:t>
            </w:r>
          </w:p>
        </w:tc>
        <w:tc>
          <w:tcPr>
            <w:tcW w:w="1047" w:type="dxa"/>
            <w:shd w:val="clear" w:color="auto" w:fill="auto"/>
          </w:tcPr>
          <w:p w14:paraId="58877A7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BC31338">
            <w:pPr>
              <w:overflowPunct w:val="0"/>
              <w:autoSpaceDE w:val="0"/>
              <w:autoSpaceDN w:val="0"/>
              <w:rPr>
                <w:rFonts w:ascii="宋体" w:hAnsi="宋体" w:eastAsia="宋体" w:cs="宋体"/>
                <w:szCs w:val="21"/>
              </w:rPr>
            </w:pPr>
            <w:r>
              <w:rPr>
                <w:rFonts w:hint="eastAsia" w:ascii="宋体" w:hAnsi="宋体" w:eastAsia="宋体" w:cs="宋体"/>
                <w:szCs w:val="21"/>
              </w:rPr>
              <w:t>31009</w:t>
            </w:r>
          </w:p>
        </w:tc>
        <w:tc>
          <w:tcPr>
            <w:tcW w:w="2116" w:type="dxa"/>
            <w:gridSpan w:val="2"/>
            <w:shd w:val="clear" w:color="auto" w:fill="auto"/>
          </w:tcPr>
          <w:p w14:paraId="249EE215">
            <w:pPr>
              <w:overflowPunct w:val="0"/>
              <w:autoSpaceDE w:val="0"/>
              <w:autoSpaceDN w:val="0"/>
              <w:jc w:val="left"/>
              <w:rPr>
                <w:rFonts w:ascii="宋体" w:hAnsi="宋体" w:eastAsia="宋体" w:cs="宋体"/>
                <w:szCs w:val="21"/>
              </w:rPr>
            </w:pPr>
            <w:r>
              <w:rPr>
                <w:rFonts w:hint="eastAsia" w:ascii="宋体" w:hAnsi="宋体" w:eastAsia="宋体" w:cs="宋体"/>
                <w:szCs w:val="21"/>
              </w:rPr>
              <w:t>土地补偿</w:t>
            </w:r>
          </w:p>
        </w:tc>
        <w:tc>
          <w:tcPr>
            <w:tcW w:w="1183" w:type="dxa"/>
            <w:shd w:val="clear" w:color="auto" w:fill="auto"/>
          </w:tcPr>
          <w:p w14:paraId="2D88918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CD0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2B115032">
            <w:pPr>
              <w:overflowPunct w:val="0"/>
              <w:autoSpaceDE w:val="0"/>
              <w:autoSpaceDN w:val="0"/>
              <w:rPr>
                <w:rFonts w:ascii="宋体" w:hAnsi="宋体" w:eastAsia="宋体" w:cs="宋体"/>
                <w:szCs w:val="21"/>
              </w:rPr>
            </w:pPr>
            <w:r>
              <w:rPr>
                <w:rFonts w:hint="eastAsia" w:ascii="宋体" w:hAnsi="宋体" w:eastAsia="宋体" w:cs="宋体"/>
                <w:szCs w:val="21"/>
              </w:rPr>
              <w:t>30113</w:t>
            </w:r>
          </w:p>
        </w:tc>
        <w:tc>
          <w:tcPr>
            <w:tcW w:w="2860" w:type="dxa"/>
            <w:shd w:val="clear" w:color="auto" w:fill="auto"/>
          </w:tcPr>
          <w:p w14:paraId="2F36F1F9">
            <w:pPr>
              <w:overflowPunct w:val="0"/>
              <w:autoSpaceDE w:val="0"/>
              <w:autoSpaceDN w:val="0"/>
              <w:jc w:val="left"/>
              <w:rPr>
                <w:rFonts w:ascii="宋体" w:hAnsi="宋体" w:eastAsia="宋体" w:cs="宋体"/>
                <w:szCs w:val="21"/>
              </w:rPr>
            </w:pPr>
            <w:r>
              <w:rPr>
                <w:rFonts w:hint="eastAsia" w:ascii="宋体" w:hAnsi="宋体" w:eastAsia="宋体" w:cs="宋体"/>
                <w:szCs w:val="21"/>
              </w:rPr>
              <w:t>住房公积金</w:t>
            </w:r>
          </w:p>
        </w:tc>
        <w:tc>
          <w:tcPr>
            <w:tcW w:w="1178" w:type="dxa"/>
            <w:shd w:val="clear" w:color="auto" w:fill="auto"/>
          </w:tcPr>
          <w:p w14:paraId="7B4B55F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10.85</w:t>
            </w:r>
          </w:p>
        </w:tc>
        <w:tc>
          <w:tcPr>
            <w:tcW w:w="1261" w:type="dxa"/>
            <w:shd w:val="clear" w:color="auto" w:fill="auto"/>
          </w:tcPr>
          <w:p w14:paraId="668672FD">
            <w:pPr>
              <w:overflowPunct w:val="0"/>
              <w:autoSpaceDE w:val="0"/>
              <w:autoSpaceDN w:val="0"/>
              <w:rPr>
                <w:rFonts w:ascii="宋体" w:hAnsi="宋体" w:eastAsia="宋体" w:cs="宋体"/>
                <w:szCs w:val="21"/>
              </w:rPr>
            </w:pPr>
            <w:r>
              <w:rPr>
                <w:rFonts w:hint="eastAsia" w:ascii="宋体" w:hAnsi="宋体" w:eastAsia="宋体" w:cs="宋体"/>
                <w:szCs w:val="21"/>
              </w:rPr>
              <w:t>30212</w:t>
            </w:r>
          </w:p>
        </w:tc>
        <w:tc>
          <w:tcPr>
            <w:tcW w:w="2019" w:type="dxa"/>
            <w:shd w:val="clear" w:color="auto" w:fill="auto"/>
          </w:tcPr>
          <w:p w14:paraId="58ACC932">
            <w:pPr>
              <w:overflowPunct w:val="0"/>
              <w:autoSpaceDE w:val="0"/>
              <w:autoSpaceDN w:val="0"/>
              <w:jc w:val="left"/>
              <w:rPr>
                <w:rFonts w:ascii="宋体" w:hAnsi="宋体" w:eastAsia="宋体" w:cs="宋体"/>
                <w:szCs w:val="21"/>
              </w:rPr>
            </w:pPr>
            <w:r>
              <w:rPr>
                <w:rFonts w:hint="eastAsia" w:ascii="宋体" w:hAnsi="宋体" w:eastAsia="宋体" w:cs="宋体"/>
                <w:szCs w:val="21"/>
              </w:rPr>
              <w:t>因公出国（境）费用</w:t>
            </w:r>
          </w:p>
        </w:tc>
        <w:tc>
          <w:tcPr>
            <w:tcW w:w="1047" w:type="dxa"/>
            <w:shd w:val="clear" w:color="auto" w:fill="auto"/>
          </w:tcPr>
          <w:p w14:paraId="0C92AD8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1EEE625">
            <w:pPr>
              <w:overflowPunct w:val="0"/>
              <w:autoSpaceDE w:val="0"/>
              <w:autoSpaceDN w:val="0"/>
              <w:rPr>
                <w:rFonts w:ascii="宋体" w:hAnsi="宋体" w:eastAsia="宋体" w:cs="宋体"/>
                <w:szCs w:val="21"/>
              </w:rPr>
            </w:pPr>
            <w:r>
              <w:rPr>
                <w:rFonts w:hint="eastAsia" w:ascii="宋体" w:hAnsi="宋体" w:eastAsia="宋体" w:cs="宋体"/>
                <w:szCs w:val="21"/>
              </w:rPr>
              <w:t>31010</w:t>
            </w:r>
          </w:p>
        </w:tc>
        <w:tc>
          <w:tcPr>
            <w:tcW w:w="2116" w:type="dxa"/>
            <w:gridSpan w:val="2"/>
            <w:shd w:val="clear" w:color="auto" w:fill="auto"/>
          </w:tcPr>
          <w:p w14:paraId="7926BCF8">
            <w:pPr>
              <w:overflowPunct w:val="0"/>
              <w:autoSpaceDE w:val="0"/>
              <w:autoSpaceDN w:val="0"/>
              <w:jc w:val="left"/>
              <w:rPr>
                <w:rFonts w:ascii="宋体" w:hAnsi="宋体" w:eastAsia="宋体" w:cs="宋体"/>
                <w:szCs w:val="21"/>
              </w:rPr>
            </w:pPr>
            <w:r>
              <w:rPr>
                <w:rFonts w:hint="eastAsia" w:ascii="宋体" w:hAnsi="宋体" w:eastAsia="宋体" w:cs="宋体"/>
                <w:szCs w:val="21"/>
              </w:rPr>
              <w:t>安置补助</w:t>
            </w:r>
          </w:p>
        </w:tc>
        <w:tc>
          <w:tcPr>
            <w:tcW w:w="1183" w:type="dxa"/>
            <w:shd w:val="clear" w:color="auto" w:fill="auto"/>
          </w:tcPr>
          <w:p w14:paraId="51F24B0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AF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1DADDE0">
            <w:pPr>
              <w:overflowPunct w:val="0"/>
              <w:autoSpaceDE w:val="0"/>
              <w:autoSpaceDN w:val="0"/>
              <w:rPr>
                <w:rFonts w:ascii="宋体" w:hAnsi="宋体" w:eastAsia="宋体" w:cs="宋体"/>
                <w:szCs w:val="21"/>
              </w:rPr>
            </w:pPr>
            <w:r>
              <w:rPr>
                <w:rFonts w:hint="eastAsia" w:ascii="宋体" w:hAnsi="宋体" w:eastAsia="宋体" w:cs="宋体"/>
                <w:szCs w:val="21"/>
              </w:rPr>
              <w:t>30114</w:t>
            </w:r>
          </w:p>
        </w:tc>
        <w:tc>
          <w:tcPr>
            <w:tcW w:w="2860" w:type="dxa"/>
            <w:shd w:val="clear" w:color="auto" w:fill="auto"/>
          </w:tcPr>
          <w:p w14:paraId="43E94B5E">
            <w:pPr>
              <w:overflowPunct w:val="0"/>
              <w:autoSpaceDE w:val="0"/>
              <w:autoSpaceDN w:val="0"/>
              <w:jc w:val="left"/>
              <w:rPr>
                <w:rFonts w:ascii="宋体" w:hAnsi="宋体" w:eastAsia="宋体" w:cs="宋体"/>
                <w:szCs w:val="21"/>
              </w:rPr>
            </w:pPr>
            <w:r>
              <w:rPr>
                <w:rFonts w:hint="eastAsia" w:ascii="宋体" w:hAnsi="宋体" w:eastAsia="宋体" w:cs="宋体"/>
                <w:szCs w:val="21"/>
              </w:rPr>
              <w:t>医疗费</w:t>
            </w:r>
          </w:p>
        </w:tc>
        <w:tc>
          <w:tcPr>
            <w:tcW w:w="1178" w:type="dxa"/>
            <w:shd w:val="clear" w:color="auto" w:fill="auto"/>
          </w:tcPr>
          <w:p w14:paraId="62871B4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2B4B468">
            <w:pPr>
              <w:overflowPunct w:val="0"/>
              <w:autoSpaceDE w:val="0"/>
              <w:autoSpaceDN w:val="0"/>
              <w:rPr>
                <w:rFonts w:ascii="宋体" w:hAnsi="宋体" w:eastAsia="宋体" w:cs="宋体"/>
                <w:szCs w:val="21"/>
              </w:rPr>
            </w:pPr>
            <w:r>
              <w:rPr>
                <w:rFonts w:hint="eastAsia" w:ascii="宋体" w:hAnsi="宋体" w:eastAsia="宋体" w:cs="宋体"/>
                <w:szCs w:val="21"/>
              </w:rPr>
              <w:t>30213</w:t>
            </w:r>
          </w:p>
        </w:tc>
        <w:tc>
          <w:tcPr>
            <w:tcW w:w="2019" w:type="dxa"/>
            <w:shd w:val="clear" w:color="auto" w:fill="auto"/>
          </w:tcPr>
          <w:p w14:paraId="3749C900">
            <w:pPr>
              <w:overflowPunct w:val="0"/>
              <w:autoSpaceDE w:val="0"/>
              <w:autoSpaceDN w:val="0"/>
              <w:jc w:val="left"/>
              <w:rPr>
                <w:rFonts w:ascii="宋体" w:hAnsi="宋体" w:eastAsia="宋体" w:cs="宋体"/>
                <w:szCs w:val="21"/>
              </w:rPr>
            </w:pPr>
            <w:r>
              <w:rPr>
                <w:rFonts w:hint="eastAsia" w:ascii="宋体" w:hAnsi="宋体" w:eastAsia="宋体" w:cs="宋体"/>
                <w:szCs w:val="21"/>
              </w:rPr>
              <w:t>维修（护）费</w:t>
            </w:r>
          </w:p>
        </w:tc>
        <w:tc>
          <w:tcPr>
            <w:tcW w:w="1047" w:type="dxa"/>
            <w:shd w:val="clear" w:color="auto" w:fill="auto"/>
          </w:tcPr>
          <w:p w14:paraId="09B275A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6C0645C">
            <w:pPr>
              <w:overflowPunct w:val="0"/>
              <w:autoSpaceDE w:val="0"/>
              <w:autoSpaceDN w:val="0"/>
              <w:rPr>
                <w:rFonts w:ascii="宋体" w:hAnsi="宋体" w:eastAsia="宋体" w:cs="宋体"/>
                <w:szCs w:val="21"/>
              </w:rPr>
            </w:pPr>
            <w:r>
              <w:rPr>
                <w:rFonts w:hint="eastAsia" w:ascii="宋体" w:hAnsi="宋体" w:eastAsia="宋体" w:cs="宋体"/>
                <w:szCs w:val="21"/>
              </w:rPr>
              <w:t>31011</w:t>
            </w:r>
          </w:p>
        </w:tc>
        <w:tc>
          <w:tcPr>
            <w:tcW w:w="2116" w:type="dxa"/>
            <w:gridSpan w:val="2"/>
            <w:shd w:val="clear" w:color="auto" w:fill="auto"/>
          </w:tcPr>
          <w:p w14:paraId="55CC878F">
            <w:pPr>
              <w:overflowPunct w:val="0"/>
              <w:autoSpaceDE w:val="0"/>
              <w:autoSpaceDN w:val="0"/>
              <w:jc w:val="left"/>
              <w:rPr>
                <w:rFonts w:ascii="宋体" w:hAnsi="宋体" w:eastAsia="宋体" w:cs="宋体"/>
                <w:szCs w:val="21"/>
              </w:rPr>
            </w:pPr>
            <w:r>
              <w:rPr>
                <w:rFonts w:hint="eastAsia" w:ascii="宋体" w:hAnsi="宋体" w:eastAsia="宋体" w:cs="宋体"/>
                <w:szCs w:val="21"/>
              </w:rPr>
              <w:t>地上附着物和青苗补偿</w:t>
            </w:r>
          </w:p>
        </w:tc>
        <w:tc>
          <w:tcPr>
            <w:tcW w:w="1183" w:type="dxa"/>
            <w:shd w:val="clear" w:color="auto" w:fill="auto"/>
          </w:tcPr>
          <w:p w14:paraId="35E2DA3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0FC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613B15A9">
            <w:pPr>
              <w:overflowPunct w:val="0"/>
              <w:autoSpaceDE w:val="0"/>
              <w:autoSpaceDN w:val="0"/>
              <w:rPr>
                <w:rFonts w:ascii="宋体" w:hAnsi="宋体" w:eastAsia="宋体" w:cs="宋体"/>
                <w:szCs w:val="21"/>
              </w:rPr>
            </w:pPr>
            <w:r>
              <w:rPr>
                <w:rFonts w:hint="eastAsia" w:ascii="宋体" w:hAnsi="宋体" w:eastAsia="宋体" w:cs="宋体"/>
                <w:szCs w:val="21"/>
              </w:rPr>
              <w:t>30199</w:t>
            </w:r>
          </w:p>
        </w:tc>
        <w:tc>
          <w:tcPr>
            <w:tcW w:w="2860" w:type="dxa"/>
            <w:shd w:val="clear" w:color="auto" w:fill="auto"/>
          </w:tcPr>
          <w:p w14:paraId="38F2973F">
            <w:pPr>
              <w:overflowPunct w:val="0"/>
              <w:autoSpaceDE w:val="0"/>
              <w:autoSpaceDN w:val="0"/>
              <w:jc w:val="left"/>
              <w:rPr>
                <w:rFonts w:ascii="宋体" w:hAnsi="宋体" w:eastAsia="宋体" w:cs="宋体"/>
                <w:szCs w:val="21"/>
              </w:rPr>
            </w:pPr>
            <w:r>
              <w:rPr>
                <w:rFonts w:hint="eastAsia" w:ascii="宋体" w:hAnsi="宋体" w:eastAsia="宋体" w:cs="宋体"/>
                <w:szCs w:val="21"/>
              </w:rPr>
              <w:t>其他工资福利支出</w:t>
            </w:r>
          </w:p>
        </w:tc>
        <w:tc>
          <w:tcPr>
            <w:tcW w:w="1178" w:type="dxa"/>
            <w:shd w:val="clear" w:color="auto" w:fill="auto"/>
          </w:tcPr>
          <w:p w14:paraId="628F401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35422B5A">
            <w:pPr>
              <w:overflowPunct w:val="0"/>
              <w:autoSpaceDE w:val="0"/>
              <w:autoSpaceDN w:val="0"/>
              <w:rPr>
                <w:rFonts w:ascii="宋体" w:hAnsi="宋体" w:eastAsia="宋体" w:cs="宋体"/>
                <w:szCs w:val="21"/>
              </w:rPr>
            </w:pPr>
            <w:r>
              <w:rPr>
                <w:rFonts w:hint="eastAsia" w:ascii="宋体" w:hAnsi="宋体" w:eastAsia="宋体" w:cs="宋体"/>
                <w:szCs w:val="21"/>
              </w:rPr>
              <w:t>30214</w:t>
            </w:r>
          </w:p>
        </w:tc>
        <w:tc>
          <w:tcPr>
            <w:tcW w:w="2019" w:type="dxa"/>
            <w:shd w:val="clear" w:color="auto" w:fill="auto"/>
          </w:tcPr>
          <w:p w14:paraId="03205FFC">
            <w:pPr>
              <w:overflowPunct w:val="0"/>
              <w:autoSpaceDE w:val="0"/>
              <w:autoSpaceDN w:val="0"/>
              <w:jc w:val="left"/>
              <w:rPr>
                <w:rFonts w:ascii="宋体" w:hAnsi="宋体" w:eastAsia="宋体" w:cs="宋体"/>
                <w:szCs w:val="21"/>
              </w:rPr>
            </w:pPr>
            <w:r>
              <w:rPr>
                <w:rFonts w:hint="eastAsia" w:ascii="宋体" w:hAnsi="宋体" w:eastAsia="宋体" w:cs="宋体"/>
                <w:szCs w:val="21"/>
              </w:rPr>
              <w:t>租赁费</w:t>
            </w:r>
          </w:p>
        </w:tc>
        <w:tc>
          <w:tcPr>
            <w:tcW w:w="1047" w:type="dxa"/>
            <w:shd w:val="clear" w:color="auto" w:fill="auto"/>
          </w:tcPr>
          <w:p w14:paraId="7B49A23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2FFBB3CA">
            <w:pPr>
              <w:overflowPunct w:val="0"/>
              <w:autoSpaceDE w:val="0"/>
              <w:autoSpaceDN w:val="0"/>
              <w:rPr>
                <w:rFonts w:ascii="宋体" w:hAnsi="宋体" w:eastAsia="宋体" w:cs="宋体"/>
                <w:szCs w:val="21"/>
              </w:rPr>
            </w:pPr>
            <w:r>
              <w:rPr>
                <w:rFonts w:hint="eastAsia" w:ascii="宋体" w:hAnsi="宋体" w:eastAsia="宋体" w:cs="宋体"/>
                <w:szCs w:val="21"/>
              </w:rPr>
              <w:t>31012</w:t>
            </w:r>
          </w:p>
        </w:tc>
        <w:tc>
          <w:tcPr>
            <w:tcW w:w="2116" w:type="dxa"/>
            <w:gridSpan w:val="2"/>
            <w:shd w:val="clear" w:color="auto" w:fill="auto"/>
          </w:tcPr>
          <w:p w14:paraId="4FCD3535">
            <w:pPr>
              <w:overflowPunct w:val="0"/>
              <w:autoSpaceDE w:val="0"/>
              <w:autoSpaceDN w:val="0"/>
              <w:jc w:val="left"/>
              <w:rPr>
                <w:rFonts w:ascii="宋体" w:hAnsi="宋体" w:eastAsia="宋体" w:cs="宋体"/>
                <w:szCs w:val="21"/>
              </w:rPr>
            </w:pPr>
            <w:r>
              <w:rPr>
                <w:rFonts w:hint="eastAsia" w:ascii="宋体" w:hAnsi="宋体" w:eastAsia="宋体" w:cs="宋体"/>
                <w:szCs w:val="21"/>
              </w:rPr>
              <w:t>拆迁补偿</w:t>
            </w:r>
          </w:p>
        </w:tc>
        <w:tc>
          <w:tcPr>
            <w:tcW w:w="1183" w:type="dxa"/>
            <w:shd w:val="clear" w:color="auto" w:fill="auto"/>
          </w:tcPr>
          <w:p w14:paraId="1ADD90E5">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8FE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2E9B8E8">
            <w:pPr>
              <w:overflowPunct w:val="0"/>
              <w:autoSpaceDE w:val="0"/>
              <w:autoSpaceDN w:val="0"/>
              <w:rPr>
                <w:rFonts w:ascii="宋体" w:hAnsi="宋体" w:eastAsia="宋体" w:cs="宋体"/>
                <w:szCs w:val="21"/>
              </w:rPr>
            </w:pPr>
            <w:r>
              <w:rPr>
                <w:rFonts w:hint="eastAsia" w:ascii="宋体" w:hAnsi="宋体" w:eastAsia="宋体" w:cs="宋体"/>
                <w:szCs w:val="21"/>
              </w:rPr>
              <w:t>303</w:t>
            </w:r>
          </w:p>
        </w:tc>
        <w:tc>
          <w:tcPr>
            <w:tcW w:w="2860" w:type="dxa"/>
            <w:shd w:val="clear" w:color="auto" w:fill="auto"/>
          </w:tcPr>
          <w:p w14:paraId="30A9645F">
            <w:pPr>
              <w:overflowPunct w:val="0"/>
              <w:autoSpaceDE w:val="0"/>
              <w:autoSpaceDN w:val="0"/>
              <w:jc w:val="left"/>
              <w:rPr>
                <w:rFonts w:ascii="宋体" w:hAnsi="宋体" w:eastAsia="宋体" w:cs="宋体"/>
                <w:szCs w:val="21"/>
              </w:rPr>
            </w:pPr>
            <w:r>
              <w:rPr>
                <w:rFonts w:hint="eastAsia" w:ascii="宋体" w:hAnsi="宋体" w:eastAsia="宋体" w:cs="宋体"/>
                <w:szCs w:val="21"/>
              </w:rPr>
              <w:t>对个人和家庭的补助</w:t>
            </w:r>
          </w:p>
        </w:tc>
        <w:tc>
          <w:tcPr>
            <w:tcW w:w="1178" w:type="dxa"/>
            <w:shd w:val="clear" w:color="auto" w:fill="auto"/>
          </w:tcPr>
          <w:p w14:paraId="6D804F3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4DE1B11">
            <w:pPr>
              <w:overflowPunct w:val="0"/>
              <w:autoSpaceDE w:val="0"/>
              <w:autoSpaceDN w:val="0"/>
              <w:rPr>
                <w:rFonts w:ascii="宋体" w:hAnsi="宋体" w:eastAsia="宋体" w:cs="宋体"/>
                <w:szCs w:val="21"/>
              </w:rPr>
            </w:pPr>
            <w:r>
              <w:rPr>
                <w:rFonts w:hint="eastAsia" w:ascii="宋体" w:hAnsi="宋体" w:eastAsia="宋体" w:cs="宋体"/>
                <w:szCs w:val="21"/>
              </w:rPr>
              <w:t>30215</w:t>
            </w:r>
          </w:p>
        </w:tc>
        <w:tc>
          <w:tcPr>
            <w:tcW w:w="2019" w:type="dxa"/>
            <w:shd w:val="clear" w:color="auto" w:fill="auto"/>
          </w:tcPr>
          <w:p w14:paraId="7911E6ED">
            <w:pPr>
              <w:overflowPunct w:val="0"/>
              <w:autoSpaceDE w:val="0"/>
              <w:autoSpaceDN w:val="0"/>
              <w:jc w:val="left"/>
              <w:rPr>
                <w:rFonts w:ascii="宋体" w:hAnsi="宋体" w:eastAsia="宋体" w:cs="宋体"/>
                <w:szCs w:val="21"/>
              </w:rPr>
            </w:pPr>
            <w:r>
              <w:rPr>
                <w:rFonts w:hint="eastAsia" w:ascii="宋体" w:hAnsi="宋体" w:eastAsia="宋体" w:cs="宋体"/>
                <w:szCs w:val="21"/>
              </w:rPr>
              <w:t>会议费</w:t>
            </w:r>
          </w:p>
        </w:tc>
        <w:tc>
          <w:tcPr>
            <w:tcW w:w="1047" w:type="dxa"/>
            <w:shd w:val="clear" w:color="auto" w:fill="auto"/>
          </w:tcPr>
          <w:p w14:paraId="39CEBA0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727D1DB4">
            <w:pPr>
              <w:overflowPunct w:val="0"/>
              <w:autoSpaceDE w:val="0"/>
              <w:autoSpaceDN w:val="0"/>
              <w:rPr>
                <w:rFonts w:ascii="宋体" w:hAnsi="宋体" w:eastAsia="宋体" w:cs="宋体"/>
                <w:szCs w:val="21"/>
              </w:rPr>
            </w:pPr>
            <w:r>
              <w:rPr>
                <w:rFonts w:hint="eastAsia" w:ascii="宋体" w:hAnsi="宋体" w:eastAsia="宋体" w:cs="宋体"/>
                <w:szCs w:val="21"/>
              </w:rPr>
              <w:t>31013</w:t>
            </w:r>
          </w:p>
        </w:tc>
        <w:tc>
          <w:tcPr>
            <w:tcW w:w="2116" w:type="dxa"/>
            <w:gridSpan w:val="2"/>
            <w:shd w:val="clear" w:color="auto" w:fill="auto"/>
          </w:tcPr>
          <w:p w14:paraId="2E68E155">
            <w:pPr>
              <w:overflowPunct w:val="0"/>
              <w:autoSpaceDE w:val="0"/>
              <w:autoSpaceDN w:val="0"/>
              <w:jc w:val="left"/>
              <w:rPr>
                <w:rFonts w:ascii="宋体" w:hAnsi="宋体" w:eastAsia="宋体" w:cs="宋体"/>
                <w:szCs w:val="21"/>
              </w:rPr>
            </w:pPr>
            <w:r>
              <w:rPr>
                <w:rFonts w:hint="eastAsia" w:ascii="宋体" w:hAnsi="宋体" w:eastAsia="宋体" w:cs="宋体"/>
                <w:szCs w:val="21"/>
              </w:rPr>
              <w:t>公务用车购置</w:t>
            </w:r>
          </w:p>
        </w:tc>
        <w:tc>
          <w:tcPr>
            <w:tcW w:w="1183" w:type="dxa"/>
            <w:shd w:val="clear" w:color="auto" w:fill="auto"/>
          </w:tcPr>
          <w:p w14:paraId="5AF225C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C36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5DB37EA8">
            <w:pPr>
              <w:overflowPunct w:val="0"/>
              <w:autoSpaceDE w:val="0"/>
              <w:autoSpaceDN w:val="0"/>
              <w:rPr>
                <w:rFonts w:ascii="宋体" w:hAnsi="宋体" w:eastAsia="宋体" w:cs="宋体"/>
                <w:szCs w:val="21"/>
              </w:rPr>
            </w:pPr>
            <w:r>
              <w:rPr>
                <w:rFonts w:hint="eastAsia" w:ascii="宋体" w:hAnsi="宋体" w:eastAsia="宋体" w:cs="宋体"/>
                <w:szCs w:val="21"/>
              </w:rPr>
              <w:t>30301</w:t>
            </w:r>
          </w:p>
        </w:tc>
        <w:tc>
          <w:tcPr>
            <w:tcW w:w="2860" w:type="dxa"/>
            <w:shd w:val="clear" w:color="auto" w:fill="auto"/>
          </w:tcPr>
          <w:p w14:paraId="6FF985F6">
            <w:pPr>
              <w:overflowPunct w:val="0"/>
              <w:autoSpaceDE w:val="0"/>
              <w:autoSpaceDN w:val="0"/>
              <w:jc w:val="left"/>
              <w:rPr>
                <w:rFonts w:ascii="宋体" w:hAnsi="宋体" w:eastAsia="宋体" w:cs="宋体"/>
                <w:szCs w:val="21"/>
              </w:rPr>
            </w:pPr>
            <w:r>
              <w:rPr>
                <w:rFonts w:hint="eastAsia" w:ascii="宋体" w:hAnsi="宋体" w:eastAsia="宋体" w:cs="宋体"/>
                <w:szCs w:val="21"/>
              </w:rPr>
              <w:t>离休费</w:t>
            </w:r>
          </w:p>
        </w:tc>
        <w:tc>
          <w:tcPr>
            <w:tcW w:w="1178" w:type="dxa"/>
            <w:shd w:val="clear" w:color="auto" w:fill="auto"/>
          </w:tcPr>
          <w:p w14:paraId="2412686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69CB55E2">
            <w:pPr>
              <w:overflowPunct w:val="0"/>
              <w:autoSpaceDE w:val="0"/>
              <w:autoSpaceDN w:val="0"/>
              <w:rPr>
                <w:rFonts w:ascii="宋体" w:hAnsi="宋体" w:eastAsia="宋体" w:cs="宋体"/>
                <w:szCs w:val="21"/>
              </w:rPr>
            </w:pPr>
            <w:r>
              <w:rPr>
                <w:rFonts w:hint="eastAsia" w:ascii="宋体" w:hAnsi="宋体" w:eastAsia="宋体" w:cs="宋体"/>
                <w:szCs w:val="21"/>
              </w:rPr>
              <w:t>30216</w:t>
            </w:r>
          </w:p>
        </w:tc>
        <w:tc>
          <w:tcPr>
            <w:tcW w:w="2019" w:type="dxa"/>
            <w:shd w:val="clear" w:color="auto" w:fill="auto"/>
          </w:tcPr>
          <w:p w14:paraId="76992870">
            <w:pPr>
              <w:overflowPunct w:val="0"/>
              <w:autoSpaceDE w:val="0"/>
              <w:autoSpaceDN w:val="0"/>
              <w:jc w:val="left"/>
              <w:rPr>
                <w:rFonts w:ascii="宋体" w:hAnsi="宋体" w:eastAsia="宋体" w:cs="宋体"/>
                <w:szCs w:val="21"/>
              </w:rPr>
            </w:pPr>
            <w:r>
              <w:rPr>
                <w:rFonts w:hint="eastAsia" w:ascii="宋体" w:hAnsi="宋体" w:eastAsia="宋体" w:cs="宋体"/>
                <w:szCs w:val="21"/>
              </w:rPr>
              <w:t>培训费</w:t>
            </w:r>
          </w:p>
        </w:tc>
        <w:tc>
          <w:tcPr>
            <w:tcW w:w="1047" w:type="dxa"/>
            <w:shd w:val="clear" w:color="auto" w:fill="auto"/>
          </w:tcPr>
          <w:p w14:paraId="1055117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409DD6E3">
            <w:pPr>
              <w:overflowPunct w:val="0"/>
              <w:autoSpaceDE w:val="0"/>
              <w:autoSpaceDN w:val="0"/>
              <w:rPr>
                <w:rFonts w:ascii="宋体" w:hAnsi="宋体" w:eastAsia="宋体" w:cs="宋体"/>
                <w:szCs w:val="21"/>
              </w:rPr>
            </w:pPr>
            <w:r>
              <w:rPr>
                <w:rFonts w:hint="eastAsia" w:ascii="宋体" w:hAnsi="宋体" w:eastAsia="宋体" w:cs="宋体"/>
                <w:szCs w:val="21"/>
              </w:rPr>
              <w:t>31019</w:t>
            </w:r>
          </w:p>
        </w:tc>
        <w:tc>
          <w:tcPr>
            <w:tcW w:w="2116" w:type="dxa"/>
            <w:gridSpan w:val="2"/>
            <w:shd w:val="clear" w:color="auto" w:fill="auto"/>
          </w:tcPr>
          <w:p w14:paraId="1F5466DA">
            <w:pPr>
              <w:overflowPunct w:val="0"/>
              <w:autoSpaceDE w:val="0"/>
              <w:autoSpaceDN w:val="0"/>
              <w:jc w:val="left"/>
              <w:rPr>
                <w:rFonts w:ascii="宋体" w:hAnsi="宋体" w:eastAsia="宋体" w:cs="宋体"/>
                <w:szCs w:val="21"/>
              </w:rPr>
            </w:pPr>
            <w:r>
              <w:rPr>
                <w:rFonts w:hint="eastAsia" w:ascii="宋体" w:hAnsi="宋体" w:eastAsia="宋体" w:cs="宋体"/>
                <w:szCs w:val="21"/>
              </w:rPr>
              <w:t>其他交通工具购置</w:t>
            </w:r>
          </w:p>
        </w:tc>
        <w:tc>
          <w:tcPr>
            <w:tcW w:w="1183" w:type="dxa"/>
            <w:shd w:val="clear" w:color="auto" w:fill="auto"/>
          </w:tcPr>
          <w:p w14:paraId="4C719C3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35E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7B392D86">
            <w:pPr>
              <w:overflowPunct w:val="0"/>
              <w:autoSpaceDE w:val="0"/>
              <w:autoSpaceDN w:val="0"/>
              <w:rPr>
                <w:rFonts w:ascii="宋体" w:hAnsi="宋体" w:eastAsia="宋体" w:cs="宋体"/>
                <w:szCs w:val="21"/>
              </w:rPr>
            </w:pPr>
            <w:r>
              <w:rPr>
                <w:rFonts w:hint="eastAsia" w:ascii="宋体" w:hAnsi="宋体" w:eastAsia="宋体" w:cs="宋体"/>
                <w:szCs w:val="21"/>
              </w:rPr>
              <w:t>30302</w:t>
            </w:r>
          </w:p>
        </w:tc>
        <w:tc>
          <w:tcPr>
            <w:tcW w:w="2860" w:type="dxa"/>
            <w:shd w:val="clear" w:color="auto" w:fill="auto"/>
          </w:tcPr>
          <w:p w14:paraId="61C02F7C">
            <w:pPr>
              <w:overflowPunct w:val="0"/>
              <w:autoSpaceDE w:val="0"/>
              <w:autoSpaceDN w:val="0"/>
              <w:jc w:val="left"/>
              <w:rPr>
                <w:rFonts w:ascii="宋体" w:hAnsi="宋体" w:eastAsia="宋体" w:cs="宋体"/>
                <w:szCs w:val="21"/>
              </w:rPr>
            </w:pPr>
            <w:r>
              <w:rPr>
                <w:rFonts w:hint="eastAsia" w:ascii="宋体" w:hAnsi="宋体" w:eastAsia="宋体" w:cs="宋体"/>
                <w:szCs w:val="21"/>
              </w:rPr>
              <w:t>退休费</w:t>
            </w:r>
          </w:p>
        </w:tc>
        <w:tc>
          <w:tcPr>
            <w:tcW w:w="1178" w:type="dxa"/>
            <w:shd w:val="clear" w:color="auto" w:fill="auto"/>
          </w:tcPr>
          <w:p w14:paraId="031DE08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A463269">
            <w:pPr>
              <w:overflowPunct w:val="0"/>
              <w:autoSpaceDE w:val="0"/>
              <w:autoSpaceDN w:val="0"/>
              <w:rPr>
                <w:rFonts w:ascii="宋体" w:hAnsi="宋体" w:eastAsia="宋体" w:cs="宋体"/>
                <w:szCs w:val="21"/>
              </w:rPr>
            </w:pPr>
            <w:r>
              <w:rPr>
                <w:rFonts w:hint="eastAsia" w:ascii="宋体" w:hAnsi="宋体" w:eastAsia="宋体" w:cs="宋体"/>
                <w:szCs w:val="21"/>
              </w:rPr>
              <w:t>30217</w:t>
            </w:r>
          </w:p>
        </w:tc>
        <w:tc>
          <w:tcPr>
            <w:tcW w:w="2019" w:type="dxa"/>
            <w:shd w:val="clear" w:color="auto" w:fill="auto"/>
          </w:tcPr>
          <w:p w14:paraId="3EA6ABF4">
            <w:pPr>
              <w:overflowPunct w:val="0"/>
              <w:autoSpaceDE w:val="0"/>
              <w:autoSpaceDN w:val="0"/>
              <w:jc w:val="left"/>
              <w:rPr>
                <w:rFonts w:ascii="宋体" w:hAnsi="宋体" w:eastAsia="宋体" w:cs="宋体"/>
                <w:szCs w:val="21"/>
              </w:rPr>
            </w:pPr>
            <w:r>
              <w:rPr>
                <w:rFonts w:hint="eastAsia" w:ascii="宋体" w:hAnsi="宋体" w:eastAsia="宋体" w:cs="宋体"/>
                <w:szCs w:val="21"/>
              </w:rPr>
              <w:t>公务接待费</w:t>
            </w:r>
          </w:p>
        </w:tc>
        <w:tc>
          <w:tcPr>
            <w:tcW w:w="1047" w:type="dxa"/>
            <w:shd w:val="clear" w:color="auto" w:fill="auto"/>
          </w:tcPr>
          <w:p w14:paraId="7607585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2D95D865">
            <w:pPr>
              <w:overflowPunct w:val="0"/>
              <w:autoSpaceDE w:val="0"/>
              <w:autoSpaceDN w:val="0"/>
              <w:rPr>
                <w:rFonts w:ascii="宋体" w:hAnsi="宋体" w:eastAsia="宋体" w:cs="宋体"/>
                <w:szCs w:val="21"/>
              </w:rPr>
            </w:pPr>
            <w:r>
              <w:rPr>
                <w:rFonts w:hint="eastAsia" w:ascii="宋体" w:hAnsi="宋体" w:eastAsia="宋体" w:cs="宋体"/>
                <w:szCs w:val="21"/>
              </w:rPr>
              <w:t>31021</w:t>
            </w:r>
          </w:p>
        </w:tc>
        <w:tc>
          <w:tcPr>
            <w:tcW w:w="2116" w:type="dxa"/>
            <w:gridSpan w:val="2"/>
            <w:shd w:val="clear" w:color="auto" w:fill="auto"/>
          </w:tcPr>
          <w:p w14:paraId="1283CFD1">
            <w:pPr>
              <w:overflowPunct w:val="0"/>
              <w:autoSpaceDE w:val="0"/>
              <w:autoSpaceDN w:val="0"/>
              <w:jc w:val="left"/>
              <w:rPr>
                <w:rFonts w:ascii="宋体" w:hAnsi="宋体" w:eastAsia="宋体" w:cs="宋体"/>
                <w:szCs w:val="21"/>
              </w:rPr>
            </w:pPr>
            <w:r>
              <w:rPr>
                <w:rFonts w:hint="eastAsia" w:ascii="宋体" w:hAnsi="宋体" w:eastAsia="宋体" w:cs="宋体"/>
                <w:szCs w:val="21"/>
              </w:rPr>
              <w:t>文物和陈列品购置</w:t>
            </w:r>
          </w:p>
        </w:tc>
        <w:tc>
          <w:tcPr>
            <w:tcW w:w="1183" w:type="dxa"/>
            <w:shd w:val="clear" w:color="auto" w:fill="auto"/>
          </w:tcPr>
          <w:p w14:paraId="662C129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B6B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74C609C8">
            <w:pPr>
              <w:overflowPunct w:val="0"/>
              <w:autoSpaceDE w:val="0"/>
              <w:autoSpaceDN w:val="0"/>
              <w:rPr>
                <w:rFonts w:ascii="宋体" w:hAnsi="宋体" w:eastAsia="宋体" w:cs="宋体"/>
                <w:szCs w:val="21"/>
              </w:rPr>
            </w:pPr>
            <w:r>
              <w:rPr>
                <w:rFonts w:hint="eastAsia" w:ascii="宋体" w:hAnsi="宋体" w:eastAsia="宋体" w:cs="宋体"/>
                <w:szCs w:val="21"/>
              </w:rPr>
              <w:t>30303</w:t>
            </w:r>
          </w:p>
        </w:tc>
        <w:tc>
          <w:tcPr>
            <w:tcW w:w="2860" w:type="dxa"/>
            <w:shd w:val="clear" w:color="auto" w:fill="auto"/>
          </w:tcPr>
          <w:p w14:paraId="295C11F7">
            <w:pPr>
              <w:overflowPunct w:val="0"/>
              <w:autoSpaceDE w:val="0"/>
              <w:autoSpaceDN w:val="0"/>
              <w:jc w:val="left"/>
              <w:rPr>
                <w:rFonts w:ascii="宋体" w:hAnsi="宋体" w:eastAsia="宋体" w:cs="宋体"/>
                <w:szCs w:val="21"/>
              </w:rPr>
            </w:pPr>
            <w:r>
              <w:rPr>
                <w:rFonts w:hint="eastAsia" w:ascii="宋体" w:hAnsi="宋体" w:eastAsia="宋体" w:cs="宋体"/>
                <w:szCs w:val="21"/>
              </w:rPr>
              <w:t>退职（役）费</w:t>
            </w:r>
          </w:p>
        </w:tc>
        <w:tc>
          <w:tcPr>
            <w:tcW w:w="1178" w:type="dxa"/>
            <w:shd w:val="clear" w:color="auto" w:fill="auto"/>
          </w:tcPr>
          <w:p w14:paraId="3C7B1E9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018164B">
            <w:pPr>
              <w:overflowPunct w:val="0"/>
              <w:autoSpaceDE w:val="0"/>
              <w:autoSpaceDN w:val="0"/>
              <w:rPr>
                <w:rFonts w:ascii="宋体" w:hAnsi="宋体" w:eastAsia="宋体" w:cs="宋体"/>
                <w:szCs w:val="21"/>
              </w:rPr>
            </w:pPr>
            <w:r>
              <w:rPr>
                <w:rFonts w:hint="eastAsia" w:ascii="宋体" w:hAnsi="宋体" w:eastAsia="宋体" w:cs="宋体"/>
                <w:szCs w:val="21"/>
              </w:rPr>
              <w:t>30218</w:t>
            </w:r>
          </w:p>
        </w:tc>
        <w:tc>
          <w:tcPr>
            <w:tcW w:w="2019" w:type="dxa"/>
            <w:shd w:val="clear" w:color="auto" w:fill="auto"/>
          </w:tcPr>
          <w:p w14:paraId="6356F401">
            <w:pPr>
              <w:overflowPunct w:val="0"/>
              <w:autoSpaceDE w:val="0"/>
              <w:autoSpaceDN w:val="0"/>
              <w:jc w:val="left"/>
              <w:rPr>
                <w:rFonts w:ascii="宋体" w:hAnsi="宋体" w:eastAsia="宋体" w:cs="宋体"/>
                <w:szCs w:val="21"/>
              </w:rPr>
            </w:pPr>
            <w:r>
              <w:rPr>
                <w:rFonts w:hint="eastAsia" w:ascii="宋体" w:hAnsi="宋体" w:eastAsia="宋体" w:cs="宋体"/>
                <w:szCs w:val="21"/>
              </w:rPr>
              <w:t>专用材料费</w:t>
            </w:r>
          </w:p>
        </w:tc>
        <w:tc>
          <w:tcPr>
            <w:tcW w:w="1047" w:type="dxa"/>
            <w:shd w:val="clear" w:color="auto" w:fill="auto"/>
          </w:tcPr>
          <w:p w14:paraId="37E8E4A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DD761DD">
            <w:pPr>
              <w:overflowPunct w:val="0"/>
              <w:autoSpaceDE w:val="0"/>
              <w:autoSpaceDN w:val="0"/>
              <w:rPr>
                <w:rFonts w:ascii="宋体" w:hAnsi="宋体" w:eastAsia="宋体" w:cs="宋体"/>
                <w:szCs w:val="21"/>
              </w:rPr>
            </w:pPr>
            <w:r>
              <w:rPr>
                <w:rFonts w:hint="eastAsia" w:ascii="宋体" w:hAnsi="宋体" w:eastAsia="宋体" w:cs="宋体"/>
                <w:szCs w:val="21"/>
              </w:rPr>
              <w:t>31022</w:t>
            </w:r>
          </w:p>
        </w:tc>
        <w:tc>
          <w:tcPr>
            <w:tcW w:w="2116" w:type="dxa"/>
            <w:gridSpan w:val="2"/>
            <w:shd w:val="clear" w:color="auto" w:fill="auto"/>
          </w:tcPr>
          <w:p w14:paraId="4EA0A1CE">
            <w:pPr>
              <w:overflowPunct w:val="0"/>
              <w:autoSpaceDE w:val="0"/>
              <w:autoSpaceDN w:val="0"/>
              <w:jc w:val="left"/>
              <w:rPr>
                <w:rFonts w:ascii="宋体" w:hAnsi="宋体" w:eastAsia="宋体" w:cs="宋体"/>
                <w:szCs w:val="21"/>
              </w:rPr>
            </w:pPr>
            <w:r>
              <w:rPr>
                <w:rFonts w:hint="eastAsia" w:ascii="宋体" w:hAnsi="宋体" w:eastAsia="宋体" w:cs="宋体"/>
                <w:szCs w:val="21"/>
              </w:rPr>
              <w:t>无形资产购置</w:t>
            </w:r>
          </w:p>
        </w:tc>
        <w:tc>
          <w:tcPr>
            <w:tcW w:w="1183" w:type="dxa"/>
            <w:shd w:val="clear" w:color="auto" w:fill="auto"/>
          </w:tcPr>
          <w:p w14:paraId="5237434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F47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36CCCDEB">
            <w:pPr>
              <w:overflowPunct w:val="0"/>
              <w:autoSpaceDE w:val="0"/>
              <w:autoSpaceDN w:val="0"/>
              <w:rPr>
                <w:rFonts w:ascii="宋体" w:hAnsi="宋体" w:eastAsia="宋体" w:cs="宋体"/>
                <w:szCs w:val="21"/>
              </w:rPr>
            </w:pPr>
            <w:r>
              <w:rPr>
                <w:rFonts w:hint="eastAsia" w:ascii="宋体" w:hAnsi="宋体" w:eastAsia="宋体" w:cs="宋体"/>
                <w:szCs w:val="21"/>
              </w:rPr>
              <w:t>30304</w:t>
            </w:r>
          </w:p>
        </w:tc>
        <w:tc>
          <w:tcPr>
            <w:tcW w:w="2860" w:type="dxa"/>
            <w:shd w:val="clear" w:color="auto" w:fill="auto"/>
          </w:tcPr>
          <w:p w14:paraId="31588B4B">
            <w:pPr>
              <w:overflowPunct w:val="0"/>
              <w:autoSpaceDE w:val="0"/>
              <w:autoSpaceDN w:val="0"/>
              <w:jc w:val="left"/>
              <w:rPr>
                <w:rFonts w:ascii="宋体" w:hAnsi="宋体" w:eastAsia="宋体" w:cs="宋体"/>
                <w:szCs w:val="21"/>
              </w:rPr>
            </w:pPr>
            <w:r>
              <w:rPr>
                <w:rFonts w:hint="eastAsia" w:ascii="宋体" w:hAnsi="宋体" w:eastAsia="宋体" w:cs="宋体"/>
                <w:szCs w:val="21"/>
              </w:rPr>
              <w:t>抚恤金</w:t>
            </w:r>
          </w:p>
        </w:tc>
        <w:tc>
          <w:tcPr>
            <w:tcW w:w="1178" w:type="dxa"/>
            <w:shd w:val="clear" w:color="auto" w:fill="auto"/>
          </w:tcPr>
          <w:p w14:paraId="57AE103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03E39C65">
            <w:pPr>
              <w:overflowPunct w:val="0"/>
              <w:autoSpaceDE w:val="0"/>
              <w:autoSpaceDN w:val="0"/>
              <w:rPr>
                <w:rFonts w:ascii="宋体" w:hAnsi="宋体" w:eastAsia="宋体" w:cs="宋体"/>
                <w:szCs w:val="21"/>
              </w:rPr>
            </w:pPr>
            <w:r>
              <w:rPr>
                <w:rFonts w:hint="eastAsia" w:ascii="宋体" w:hAnsi="宋体" w:eastAsia="宋体" w:cs="宋体"/>
                <w:szCs w:val="21"/>
              </w:rPr>
              <w:t>30224</w:t>
            </w:r>
          </w:p>
        </w:tc>
        <w:tc>
          <w:tcPr>
            <w:tcW w:w="2019" w:type="dxa"/>
            <w:shd w:val="clear" w:color="auto" w:fill="auto"/>
          </w:tcPr>
          <w:p w14:paraId="09F880BF">
            <w:pPr>
              <w:overflowPunct w:val="0"/>
              <w:autoSpaceDE w:val="0"/>
              <w:autoSpaceDN w:val="0"/>
              <w:jc w:val="left"/>
              <w:rPr>
                <w:rFonts w:ascii="宋体" w:hAnsi="宋体" w:eastAsia="宋体" w:cs="宋体"/>
                <w:szCs w:val="21"/>
              </w:rPr>
            </w:pPr>
            <w:r>
              <w:rPr>
                <w:rFonts w:hint="eastAsia" w:ascii="宋体" w:hAnsi="宋体" w:eastAsia="宋体" w:cs="宋体"/>
                <w:szCs w:val="21"/>
              </w:rPr>
              <w:t>被装购置费</w:t>
            </w:r>
          </w:p>
        </w:tc>
        <w:tc>
          <w:tcPr>
            <w:tcW w:w="1047" w:type="dxa"/>
            <w:shd w:val="clear" w:color="auto" w:fill="auto"/>
          </w:tcPr>
          <w:p w14:paraId="29A19F4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4B48AC18">
            <w:pPr>
              <w:overflowPunct w:val="0"/>
              <w:autoSpaceDE w:val="0"/>
              <w:autoSpaceDN w:val="0"/>
              <w:rPr>
                <w:rFonts w:ascii="宋体" w:hAnsi="宋体" w:eastAsia="宋体" w:cs="宋体"/>
                <w:szCs w:val="21"/>
              </w:rPr>
            </w:pPr>
            <w:r>
              <w:rPr>
                <w:rFonts w:hint="eastAsia" w:ascii="宋体" w:hAnsi="宋体" w:eastAsia="宋体" w:cs="宋体"/>
                <w:szCs w:val="21"/>
              </w:rPr>
              <w:t>31099</w:t>
            </w:r>
          </w:p>
        </w:tc>
        <w:tc>
          <w:tcPr>
            <w:tcW w:w="2116" w:type="dxa"/>
            <w:gridSpan w:val="2"/>
            <w:shd w:val="clear" w:color="auto" w:fill="auto"/>
          </w:tcPr>
          <w:p w14:paraId="0A855DEE">
            <w:pPr>
              <w:overflowPunct w:val="0"/>
              <w:autoSpaceDE w:val="0"/>
              <w:autoSpaceDN w:val="0"/>
              <w:jc w:val="left"/>
              <w:rPr>
                <w:rFonts w:ascii="宋体" w:hAnsi="宋体" w:eastAsia="宋体" w:cs="宋体"/>
                <w:szCs w:val="21"/>
              </w:rPr>
            </w:pPr>
            <w:r>
              <w:rPr>
                <w:rFonts w:hint="eastAsia" w:ascii="宋体" w:hAnsi="宋体" w:eastAsia="宋体" w:cs="宋体"/>
                <w:szCs w:val="21"/>
              </w:rPr>
              <w:t>其他资本性支出</w:t>
            </w:r>
          </w:p>
        </w:tc>
        <w:tc>
          <w:tcPr>
            <w:tcW w:w="1183" w:type="dxa"/>
            <w:shd w:val="clear" w:color="auto" w:fill="auto"/>
          </w:tcPr>
          <w:p w14:paraId="08AB4FC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B92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156DED6D">
            <w:pPr>
              <w:overflowPunct w:val="0"/>
              <w:autoSpaceDE w:val="0"/>
              <w:autoSpaceDN w:val="0"/>
              <w:rPr>
                <w:rFonts w:ascii="宋体" w:hAnsi="宋体" w:eastAsia="宋体" w:cs="宋体"/>
                <w:szCs w:val="21"/>
              </w:rPr>
            </w:pPr>
            <w:r>
              <w:rPr>
                <w:rFonts w:hint="eastAsia" w:ascii="宋体" w:hAnsi="宋体" w:eastAsia="宋体" w:cs="宋体"/>
                <w:szCs w:val="21"/>
              </w:rPr>
              <w:t>30305</w:t>
            </w:r>
          </w:p>
        </w:tc>
        <w:tc>
          <w:tcPr>
            <w:tcW w:w="2860" w:type="dxa"/>
            <w:shd w:val="clear" w:color="auto" w:fill="auto"/>
          </w:tcPr>
          <w:p w14:paraId="57676A51">
            <w:pPr>
              <w:overflowPunct w:val="0"/>
              <w:autoSpaceDE w:val="0"/>
              <w:autoSpaceDN w:val="0"/>
              <w:jc w:val="left"/>
              <w:rPr>
                <w:rFonts w:ascii="宋体" w:hAnsi="宋体" w:eastAsia="宋体" w:cs="宋体"/>
                <w:szCs w:val="21"/>
              </w:rPr>
            </w:pPr>
            <w:r>
              <w:rPr>
                <w:rFonts w:hint="eastAsia" w:ascii="宋体" w:hAnsi="宋体" w:eastAsia="宋体" w:cs="宋体"/>
                <w:szCs w:val="21"/>
              </w:rPr>
              <w:t>生活补助</w:t>
            </w:r>
          </w:p>
        </w:tc>
        <w:tc>
          <w:tcPr>
            <w:tcW w:w="1178" w:type="dxa"/>
            <w:shd w:val="clear" w:color="auto" w:fill="auto"/>
          </w:tcPr>
          <w:p w14:paraId="6AEA5B8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6ABC64B0">
            <w:pPr>
              <w:overflowPunct w:val="0"/>
              <w:autoSpaceDE w:val="0"/>
              <w:autoSpaceDN w:val="0"/>
              <w:rPr>
                <w:rFonts w:ascii="宋体" w:hAnsi="宋体" w:eastAsia="宋体" w:cs="宋体"/>
                <w:szCs w:val="21"/>
              </w:rPr>
            </w:pPr>
            <w:r>
              <w:rPr>
                <w:rFonts w:hint="eastAsia" w:ascii="宋体" w:hAnsi="宋体" w:eastAsia="宋体" w:cs="宋体"/>
                <w:szCs w:val="21"/>
              </w:rPr>
              <w:t>30225</w:t>
            </w:r>
          </w:p>
        </w:tc>
        <w:tc>
          <w:tcPr>
            <w:tcW w:w="2019" w:type="dxa"/>
            <w:shd w:val="clear" w:color="auto" w:fill="auto"/>
          </w:tcPr>
          <w:p w14:paraId="07B31A9C">
            <w:pPr>
              <w:overflowPunct w:val="0"/>
              <w:autoSpaceDE w:val="0"/>
              <w:autoSpaceDN w:val="0"/>
              <w:jc w:val="left"/>
              <w:rPr>
                <w:rFonts w:ascii="宋体" w:hAnsi="宋体" w:eastAsia="宋体" w:cs="宋体"/>
                <w:szCs w:val="21"/>
              </w:rPr>
            </w:pPr>
            <w:r>
              <w:rPr>
                <w:rFonts w:hint="eastAsia" w:ascii="宋体" w:hAnsi="宋体" w:eastAsia="宋体" w:cs="宋体"/>
                <w:szCs w:val="21"/>
              </w:rPr>
              <w:t>专用燃料费</w:t>
            </w:r>
          </w:p>
        </w:tc>
        <w:tc>
          <w:tcPr>
            <w:tcW w:w="1047" w:type="dxa"/>
            <w:shd w:val="clear" w:color="auto" w:fill="auto"/>
          </w:tcPr>
          <w:p w14:paraId="24C1F91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DE021B1">
            <w:pPr>
              <w:overflowPunct w:val="0"/>
              <w:autoSpaceDE w:val="0"/>
              <w:autoSpaceDN w:val="0"/>
              <w:rPr>
                <w:rFonts w:ascii="宋体" w:hAnsi="宋体" w:eastAsia="宋体" w:cs="宋体"/>
                <w:szCs w:val="21"/>
              </w:rPr>
            </w:pPr>
            <w:r>
              <w:rPr>
                <w:rFonts w:hint="eastAsia" w:ascii="宋体" w:hAnsi="宋体" w:eastAsia="宋体" w:cs="宋体"/>
                <w:szCs w:val="21"/>
              </w:rPr>
              <w:t>312</w:t>
            </w:r>
          </w:p>
        </w:tc>
        <w:tc>
          <w:tcPr>
            <w:tcW w:w="2116" w:type="dxa"/>
            <w:gridSpan w:val="2"/>
            <w:shd w:val="clear" w:color="auto" w:fill="auto"/>
          </w:tcPr>
          <w:p w14:paraId="4BE33D19">
            <w:pPr>
              <w:overflowPunct w:val="0"/>
              <w:autoSpaceDE w:val="0"/>
              <w:autoSpaceDN w:val="0"/>
              <w:jc w:val="left"/>
              <w:rPr>
                <w:rFonts w:ascii="宋体" w:hAnsi="宋体" w:eastAsia="宋体" w:cs="宋体"/>
                <w:szCs w:val="21"/>
              </w:rPr>
            </w:pPr>
            <w:r>
              <w:rPr>
                <w:rFonts w:hint="eastAsia" w:ascii="宋体" w:hAnsi="宋体" w:eastAsia="宋体" w:cs="宋体"/>
                <w:szCs w:val="21"/>
              </w:rPr>
              <w:t>对企业补助</w:t>
            </w:r>
          </w:p>
        </w:tc>
        <w:tc>
          <w:tcPr>
            <w:tcW w:w="1183" w:type="dxa"/>
            <w:shd w:val="clear" w:color="auto" w:fill="auto"/>
          </w:tcPr>
          <w:p w14:paraId="4E157BF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14E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16B7873A">
            <w:pPr>
              <w:overflowPunct w:val="0"/>
              <w:autoSpaceDE w:val="0"/>
              <w:autoSpaceDN w:val="0"/>
              <w:rPr>
                <w:rFonts w:ascii="宋体" w:hAnsi="宋体" w:eastAsia="宋体" w:cs="宋体"/>
                <w:szCs w:val="21"/>
              </w:rPr>
            </w:pPr>
            <w:r>
              <w:rPr>
                <w:rFonts w:hint="eastAsia" w:ascii="宋体" w:hAnsi="宋体" w:eastAsia="宋体" w:cs="宋体"/>
                <w:szCs w:val="21"/>
              </w:rPr>
              <w:t>30306</w:t>
            </w:r>
          </w:p>
        </w:tc>
        <w:tc>
          <w:tcPr>
            <w:tcW w:w="2860" w:type="dxa"/>
            <w:shd w:val="clear" w:color="auto" w:fill="auto"/>
          </w:tcPr>
          <w:p w14:paraId="671E0E49">
            <w:pPr>
              <w:overflowPunct w:val="0"/>
              <w:autoSpaceDE w:val="0"/>
              <w:autoSpaceDN w:val="0"/>
              <w:jc w:val="left"/>
              <w:rPr>
                <w:rFonts w:ascii="宋体" w:hAnsi="宋体" w:eastAsia="宋体" w:cs="宋体"/>
                <w:szCs w:val="21"/>
              </w:rPr>
            </w:pPr>
            <w:r>
              <w:rPr>
                <w:rFonts w:hint="eastAsia" w:ascii="宋体" w:hAnsi="宋体" w:eastAsia="宋体" w:cs="宋体"/>
                <w:szCs w:val="21"/>
              </w:rPr>
              <w:t>救济费</w:t>
            </w:r>
          </w:p>
        </w:tc>
        <w:tc>
          <w:tcPr>
            <w:tcW w:w="1178" w:type="dxa"/>
            <w:shd w:val="clear" w:color="auto" w:fill="auto"/>
          </w:tcPr>
          <w:p w14:paraId="3F43CC3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5418585A">
            <w:pPr>
              <w:overflowPunct w:val="0"/>
              <w:autoSpaceDE w:val="0"/>
              <w:autoSpaceDN w:val="0"/>
              <w:rPr>
                <w:rFonts w:ascii="宋体" w:hAnsi="宋体" w:eastAsia="宋体" w:cs="宋体"/>
                <w:szCs w:val="21"/>
              </w:rPr>
            </w:pPr>
            <w:r>
              <w:rPr>
                <w:rFonts w:hint="eastAsia" w:ascii="宋体" w:hAnsi="宋体" w:eastAsia="宋体" w:cs="宋体"/>
                <w:szCs w:val="21"/>
              </w:rPr>
              <w:t>30226</w:t>
            </w:r>
          </w:p>
        </w:tc>
        <w:tc>
          <w:tcPr>
            <w:tcW w:w="2019" w:type="dxa"/>
            <w:shd w:val="clear" w:color="auto" w:fill="auto"/>
          </w:tcPr>
          <w:p w14:paraId="75025F83">
            <w:pPr>
              <w:overflowPunct w:val="0"/>
              <w:autoSpaceDE w:val="0"/>
              <w:autoSpaceDN w:val="0"/>
              <w:jc w:val="left"/>
              <w:rPr>
                <w:rFonts w:ascii="宋体" w:hAnsi="宋体" w:eastAsia="宋体" w:cs="宋体"/>
                <w:szCs w:val="21"/>
              </w:rPr>
            </w:pPr>
            <w:r>
              <w:rPr>
                <w:rFonts w:hint="eastAsia" w:ascii="宋体" w:hAnsi="宋体" w:eastAsia="宋体" w:cs="宋体"/>
                <w:szCs w:val="21"/>
              </w:rPr>
              <w:t>劳务费</w:t>
            </w:r>
          </w:p>
        </w:tc>
        <w:tc>
          <w:tcPr>
            <w:tcW w:w="1047" w:type="dxa"/>
            <w:shd w:val="clear" w:color="auto" w:fill="auto"/>
          </w:tcPr>
          <w:p w14:paraId="2B2FD07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3C65F7F">
            <w:pPr>
              <w:overflowPunct w:val="0"/>
              <w:autoSpaceDE w:val="0"/>
              <w:autoSpaceDN w:val="0"/>
              <w:rPr>
                <w:rFonts w:ascii="宋体" w:hAnsi="宋体" w:eastAsia="宋体" w:cs="宋体"/>
                <w:szCs w:val="21"/>
              </w:rPr>
            </w:pPr>
            <w:r>
              <w:rPr>
                <w:rFonts w:hint="eastAsia" w:ascii="宋体" w:hAnsi="宋体" w:eastAsia="宋体" w:cs="宋体"/>
                <w:szCs w:val="21"/>
              </w:rPr>
              <w:t>31201</w:t>
            </w:r>
          </w:p>
        </w:tc>
        <w:tc>
          <w:tcPr>
            <w:tcW w:w="2116" w:type="dxa"/>
            <w:gridSpan w:val="2"/>
            <w:shd w:val="clear" w:color="auto" w:fill="auto"/>
          </w:tcPr>
          <w:p w14:paraId="11CF5401">
            <w:pPr>
              <w:overflowPunct w:val="0"/>
              <w:autoSpaceDE w:val="0"/>
              <w:autoSpaceDN w:val="0"/>
              <w:jc w:val="left"/>
              <w:rPr>
                <w:rFonts w:ascii="宋体" w:hAnsi="宋体" w:eastAsia="宋体" w:cs="宋体"/>
                <w:szCs w:val="21"/>
              </w:rPr>
            </w:pPr>
            <w:r>
              <w:rPr>
                <w:rFonts w:hint="eastAsia" w:ascii="宋体" w:hAnsi="宋体" w:eastAsia="宋体" w:cs="宋体"/>
                <w:szCs w:val="21"/>
              </w:rPr>
              <w:t>资本金注入</w:t>
            </w:r>
          </w:p>
        </w:tc>
        <w:tc>
          <w:tcPr>
            <w:tcW w:w="1183" w:type="dxa"/>
            <w:shd w:val="clear" w:color="auto" w:fill="auto"/>
          </w:tcPr>
          <w:p w14:paraId="136291B0">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D07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04FB91BB">
            <w:pPr>
              <w:overflowPunct w:val="0"/>
              <w:autoSpaceDE w:val="0"/>
              <w:autoSpaceDN w:val="0"/>
              <w:rPr>
                <w:rFonts w:ascii="宋体" w:hAnsi="宋体" w:eastAsia="宋体" w:cs="宋体"/>
                <w:szCs w:val="21"/>
              </w:rPr>
            </w:pPr>
            <w:r>
              <w:rPr>
                <w:rFonts w:hint="eastAsia" w:ascii="宋体" w:hAnsi="宋体" w:eastAsia="宋体" w:cs="宋体"/>
                <w:szCs w:val="21"/>
              </w:rPr>
              <w:t>30307</w:t>
            </w:r>
          </w:p>
        </w:tc>
        <w:tc>
          <w:tcPr>
            <w:tcW w:w="2860" w:type="dxa"/>
            <w:shd w:val="clear" w:color="auto" w:fill="auto"/>
          </w:tcPr>
          <w:p w14:paraId="72CA1CD0">
            <w:pPr>
              <w:overflowPunct w:val="0"/>
              <w:autoSpaceDE w:val="0"/>
              <w:autoSpaceDN w:val="0"/>
              <w:jc w:val="left"/>
              <w:rPr>
                <w:rFonts w:ascii="宋体" w:hAnsi="宋体" w:eastAsia="宋体" w:cs="宋体"/>
                <w:szCs w:val="21"/>
              </w:rPr>
            </w:pPr>
            <w:r>
              <w:rPr>
                <w:rFonts w:hint="eastAsia" w:ascii="宋体" w:hAnsi="宋体" w:eastAsia="宋体" w:cs="宋体"/>
                <w:szCs w:val="21"/>
              </w:rPr>
              <w:t>医疗费补助</w:t>
            </w:r>
          </w:p>
        </w:tc>
        <w:tc>
          <w:tcPr>
            <w:tcW w:w="1178" w:type="dxa"/>
            <w:shd w:val="clear" w:color="auto" w:fill="auto"/>
          </w:tcPr>
          <w:p w14:paraId="2B2A03D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0839726">
            <w:pPr>
              <w:overflowPunct w:val="0"/>
              <w:autoSpaceDE w:val="0"/>
              <w:autoSpaceDN w:val="0"/>
              <w:rPr>
                <w:rFonts w:ascii="宋体" w:hAnsi="宋体" w:eastAsia="宋体" w:cs="宋体"/>
                <w:szCs w:val="21"/>
              </w:rPr>
            </w:pPr>
            <w:r>
              <w:rPr>
                <w:rFonts w:hint="eastAsia" w:ascii="宋体" w:hAnsi="宋体" w:eastAsia="宋体" w:cs="宋体"/>
                <w:szCs w:val="21"/>
              </w:rPr>
              <w:t>30227</w:t>
            </w:r>
          </w:p>
        </w:tc>
        <w:tc>
          <w:tcPr>
            <w:tcW w:w="2019" w:type="dxa"/>
            <w:shd w:val="clear" w:color="auto" w:fill="auto"/>
          </w:tcPr>
          <w:p w14:paraId="2CB18A62">
            <w:pPr>
              <w:overflowPunct w:val="0"/>
              <w:autoSpaceDE w:val="0"/>
              <w:autoSpaceDN w:val="0"/>
              <w:jc w:val="left"/>
              <w:rPr>
                <w:rFonts w:ascii="宋体" w:hAnsi="宋体" w:eastAsia="宋体" w:cs="宋体"/>
                <w:szCs w:val="21"/>
              </w:rPr>
            </w:pPr>
            <w:r>
              <w:rPr>
                <w:rFonts w:hint="eastAsia" w:ascii="宋体" w:hAnsi="宋体" w:eastAsia="宋体" w:cs="宋体"/>
                <w:szCs w:val="21"/>
              </w:rPr>
              <w:t>委托业务费</w:t>
            </w:r>
          </w:p>
        </w:tc>
        <w:tc>
          <w:tcPr>
            <w:tcW w:w="1047" w:type="dxa"/>
            <w:shd w:val="clear" w:color="auto" w:fill="auto"/>
          </w:tcPr>
          <w:p w14:paraId="784A5D1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5D80E83">
            <w:pPr>
              <w:overflowPunct w:val="0"/>
              <w:autoSpaceDE w:val="0"/>
              <w:autoSpaceDN w:val="0"/>
              <w:rPr>
                <w:rFonts w:ascii="宋体" w:hAnsi="宋体" w:eastAsia="宋体" w:cs="宋体"/>
                <w:szCs w:val="21"/>
              </w:rPr>
            </w:pPr>
            <w:r>
              <w:rPr>
                <w:rFonts w:hint="eastAsia" w:ascii="宋体" w:hAnsi="宋体" w:eastAsia="宋体" w:cs="宋体"/>
                <w:szCs w:val="21"/>
              </w:rPr>
              <w:t>31203</w:t>
            </w:r>
          </w:p>
        </w:tc>
        <w:tc>
          <w:tcPr>
            <w:tcW w:w="2116" w:type="dxa"/>
            <w:gridSpan w:val="2"/>
            <w:shd w:val="clear" w:color="auto" w:fill="auto"/>
          </w:tcPr>
          <w:p w14:paraId="7ACA9AAC">
            <w:pPr>
              <w:overflowPunct w:val="0"/>
              <w:autoSpaceDE w:val="0"/>
              <w:autoSpaceDN w:val="0"/>
              <w:jc w:val="left"/>
              <w:rPr>
                <w:rFonts w:ascii="宋体" w:hAnsi="宋体" w:eastAsia="宋体" w:cs="宋体"/>
                <w:szCs w:val="21"/>
              </w:rPr>
            </w:pPr>
            <w:r>
              <w:rPr>
                <w:rFonts w:hint="eastAsia" w:ascii="宋体" w:hAnsi="宋体" w:eastAsia="宋体" w:cs="宋体"/>
                <w:szCs w:val="21"/>
              </w:rPr>
              <w:t>政府投资基金股权投资</w:t>
            </w:r>
          </w:p>
        </w:tc>
        <w:tc>
          <w:tcPr>
            <w:tcW w:w="1183" w:type="dxa"/>
            <w:shd w:val="clear" w:color="auto" w:fill="auto"/>
          </w:tcPr>
          <w:p w14:paraId="0928431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70D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68EF0AD9">
            <w:pPr>
              <w:overflowPunct w:val="0"/>
              <w:autoSpaceDE w:val="0"/>
              <w:autoSpaceDN w:val="0"/>
              <w:rPr>
                <w:rFonts w:ascii="宋体" w:hAnsi="宋体" w:eastAsia="宋体" w:cs="宋体"/>
                <w:szCs w:val="21"/>
              </w:rPr>
            </w:pPr>
            <w:r>
              <w:rPr>
                <w:rFonts w:hint="eastAsia" w:ascii="宋体" w:hAnsi="宋体" w:eastAsia="宋体" w:cs="宋体"/>
                <w:szCs w:val="21"/>
              </w:rPr>
              <w:t>30308</w:t>
            </w:r>
          </w:p>
        </w:tc>
        <w:tc>
          <w:tcPr>
            <w:tcW w:w="2860" w:type="dxa"/>
            <w:shd w:val="clear" w:color="auto" w:fill="auto"/>
          </w:tcPr>
          <w:p w14:paraId="1DCCD534">
            <w:pPr>
              <w:overflowPunct w:val="0"/>
              <w:autoSpaceDE w:val="0"/>
              <w:autoSpaceDN w:val="0"/>
              <w:jc w:val="left"/>
              <w:rPr>
                <w:rFonts w:ascii="宋体" w:hAnsi="宋体" w:eastAsia="宋体" w:cs="宋体"/>
                <w:szCs w:val="21"/>
              </w:rPr>
            </w:pPr>
            <w:r>
              <w:rPr>
                <w:rFonts w:hint="eastAsia" w:ascii="宋体" w:hAnsi="宋体" w:eastAsia="宋体" w:cs="宋体"/>
                <w:szCs w:val="21"/>
              </w:rPr>
              <w:t>助学金</w:t>
            </w:r>
          </w:p>
        </w:tc>
        <w:tc>
          <w:tcPr>
            <w:tcW w:w="1178" w:type="dxa"/>
            <w:shd w:val="clear" w:color="auto" w:fill="auto"/>
          </w:tcPr>
          <w:p w14:paraId="33C4EF3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B57B49C">
            <w:pPr>
              <w:overflowPunct w:val="0"/>
              <w:autoSpaceDE w:val="0"/>
              <w:autoSpaceDN w:val="0"/>
              <w:rPr>
                <w:rFonts w:ascii="宋体" w:hAnsi="宋体" w:eastAsia="宋体" w:cs="宋体"/>
                <w:szCs w:val="21"/>
              </w:rPr>
            </w:pPr>
            <w:r>
              <w:rPr>
                <w:rFonts w:hint="eastAsia" w:ascii="宋体" w:hAnsi="宋体" w:eastAsia="宋体" w:cs="宋体"/>
                <w:szCs w:val="21"/>
              </w:rPr>
              <w:t>30228</w:t>
            </w:r>
          </w:p>
        </w:tc>
        <w:tc>
          <w:tcPr>
            <w:tcW w:w="2019" w:type="dxa"/>
            <w:shd w:val="clear" w:color="auto" w:fill="auto"/>
          </w:tcPr>
          <w:p w14:paraId="09351F0B">
            <w:pPr>
              <w:overflowPunct w:val="0"/>
              <w:autoSpaceDE w:val="0"/>
              <w:autoSpaceDN w:val="0"/>
              <w:jc w:val="left"/>
              <w:rPr>
                <w:rFonts w:ascii="宋体" w:hAnsi="宋体" w:eastAsia="宋体" w:cs="宋体"/>
                <w:szCs w:val="21"/>
              </w:rPr>
            </w:pPr>
            <w:r>
              <w:rPr>
                <w:rFonts w:hint="eastAsia" w:ascii="宋体" w:hAnsi="宋体" w:eastAsia="宋体" w:cs="宋体"/>
                <w:szCs w:val="21"/>
              </w:rPr>
              <w:t>工会经费</w:t>
            </w:r>
          </w:p>
        </w:tc>
        <w:tc>
          <w:tcPr>
            <w:tcW w:w="1047" w:type="dxa"/>
            <w:shd w:val="clear" w:color="auto" w:fill="auto"/>
          </w:tcPr>
          <w:p w14:paraId="37D5782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1.78</w:t>
            </w:r>
          </w:p>
        </w:tc>
        <w:tc>
          <w:tcPr>
            <w:tcW w:w="1099" w:type="dxa"/>
            <w:gridSpan w:val="2"/>
            <w:shd w:val="clear" w:color="auto" w:fill="auto"/>
          </w:tcPr>
          <w:p w14:paraId="0FBDC6F7">
            <w:pPr>
              <w:overflowPunct w:val="0"/>
              <w:autoSpaceDE w:val="0"/>
              <w:autoSpaceDN w:val="0"/>
              <w:rPr>
                <w:rFonts w:ascii="宋体" w:hAnsi="宋体" w:eastAsia="宋体" w:cs="宋体"/>
                <w:szCs w:val="21"/>
              </w:rPr>
            </w:pPr>
            <w:r>
              <w:rPr>
                <w:rFonts w:hint="eastAsia" w:ascii="宋体" w:hAnsi="宋体" w:eastAsia="宋体" w:cs="宋体"/>
                <w:szCs w:val="21"/>
              </w:rPr>
              <w:t>31204</w:t>
            </w:r>
          </w:p>
        </w:tc>
        <w:tc>
          <w:tcPr>
            <w:tcW w:w="2116" w:type="dxa"/>
            <w:gridSpan w:val="2"/>
            <w:shd w:val="clear" w:color="auto" w:fill="auto"/>
          </w:tcPr>
          <w:p w14:paraId="66874C46">
            <w:pPr>
              <w:overflowPunct w:val="0"/>
              <w:autoSpaceDE w:val="0"/>
              <w:autoSpaceDN w:val="0"/>
              <w:jc w:val="left"/>
              <w:rPr>
                <w:rFonts w:ascii="宋体" w:hAnsi="宋体" w:eastAsia="宋体" w:cs="宋体"/>
                <w:szCs w:val="21"/>
              </w:rPr>
            </w:pPr>
            <w:r>
              <w:rPr>
                <w:rFonts w:hint="eastAsia" w:ascii="宋体" w:hAnsi="宋体" w:eastAsia="宋体" w:cs="宋体"/>
                <w:szCs w:val="21"/>
              </w:rPr>
              <w:t>费用补贴</w:t>
            </w:r>
          </w:p>
        </w:tc>
        <w:tc>
          <w:tcPr>
            <w:tcW w:w="1183" w:type="dxa"/>
            <w:shd w:val="clear" w:color="auto" w:fill="auto"/>
          </w:tcPr>
          <w:p w14:paraId="491B4ED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E4F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shd w:val="clear" w:color="auto" w:fill="auto"/>
          </w:tcPr>
          <w:p w14:paraId="455468B0">
            <w:pPr>
              <w:overflowPunct w:val="0"/>
              <w:autoSpaceDE w:val="0"/>
              <w:autoSpaceDN w:val="0"/>
              <w:rPr>
                <w:rFonts w:ascii="宋体" w:hAnsi="宋体" w:eastAsia="宋体" w:cs="宋体"/>
                <w:szCs w:val="21"/>
              </w:rPr>
            </w:pPr>
            <w:r>
              <w:rPr>
                <w:rFonts w:hint="eastAsia" w:ascii="宋体" w:hAnsi="宋体" w:eastAsia="宋体" w:cs="宋体"/>
                <w:szCs w:val="21"/>
              </w:rPr>
              <w:t>30309</w:t>
            </w:r>
          </w:p>
        </w:tc>
        <w:tc>
          <w:tcPr>
            <w:tcW w:w="2860" w:type="dxa"/>
            <w:shd w:val="clear" w:color="auto" w:fill="auto"/>
          </w:tcPr>
          <w:p w14:paraId="395A80AA">
            <w:pPr>
              <w:overflowPunct w:val="0"/>
              <w:autoSpaceDE w:val="0"/>
              <w:autoSpaceDN w:val="0"/>
              <w:jc w:val="left"/>
              <w:rPr>
                <w:rFonts w:ascii="宋体" w:hAnsi="宋体" w:eastAsia="宋体" w:cs="宋体"/>
                <w:szCs w:val="21"/>
              </w:rPr>
            </w:pPr>
            <w:r>
              <w:rPr>
                <w:rFonts w:hint="eastAsia" w:ascii="宋体" w:hAnsi="宋体" w:eastAsia="宋体" w:cs="宋体"/>
                <w:szCs w:val="21"/>
              </w:rPr>
              <w:t>奖励金</w:t>
            </w:r>
          </w:p>
        </w:tc>
        <w:tc>
          <w:tcPr>
            <w:tcW w:w="1178" w:type="dxa"/>
            <w:shd w:val="clear" w:color="auto" w:fill="auto"/>
          </w:tcPr>
          <w:p w14:paraId="286DD32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7191824C">
            <w:pPr>
              <w:overflowPunct w:val="0"/>
              <w:autoSpaceDE w:val="0"/>
              <w:autoSpaceDN w:val="0"/>
              <w:rPr>
                <w:rFonts w:ascii="宋体" w:hAnsi="宋体" w:eastAsia="宋体" w:cs="宋体"/>
                <w:szCs w:val="21"/>
              </w:rPr>
            </w:pPr>
            <w:r>
              <w:rPr>
                <w:rFonts w:hint="eastAsia" w:ascii="宋体" w:hAnsi="宋体" w:eastAsia="宋体" w:cs="宋体"/>
                <w:szCs w:val="21"/>
              </w:rPr>
              <w:t>30229</w:t>
            </w:r>
          </w:p>
        </w:tc>
        <w:tc>
          <w:tcPr>
            <w:tcW w:w="2019" w:type="dxa"/>
            <w:shd w:val="clear" w:color="auto" w:fill="auto"/>
          </w:tcPr>
          <w:p w14:paraId="2E536D30">
            <w:pPr>
              <w:overflowPunct w:val="0"/>
              <w:autoSpaceDE w:val="0"/>
              <w:autoSpaceDN w:val="0"/>
              <w:jc w:val="left"/>
              <w:rPr>
                <w:rFonts w:ascii="宋体" w:hAnsi="宋体" w:eastAsia="宋体" w:cs="宋体"/>
                <w:szCs w:val="21"/>
              </w:rPr>
            </w:pPr>
            <w:r>
              <w:rPr>
                <w:rFonts w:hint="eastAsia" w:ascii="宋体" w:hAnsi="宋体" w:eastAsia="宋体" w:cs="宋体"/>
                <w:szCs w:val="21"/>
              </w:rPr>
              <w:t>福利费</w:t>
            </w:r>
          </w:p>
        </w:tc>
        <w:tc>
          <w:tcPr>
            <w:tcW w:w="1047" w:type="dxa"/>
            <w:shd w:val="clear" w:color="auto" w:fill="auto"/>
          </w:tcPr>
          <w:p w14:paraId="4BD2BA3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26485ED">
            <w:pPr>
              <w:overflowPunct w:val="0"/>
              <w:autoSpaceDE w:val="0"/>
              <w:autoSpaceDN w:val="0"/>
              <w:rPr>
                <w:rFonts w:ascii="宋体" w:hAnsi="宋体" w:eastAsia="宋体" w:cs="宋体"/>
                <w:szCs w:val="21"/>
              </w:rPr>
            </w:pPr>
            <w:r>
              <w:rPr>
                <w:rFonts w:hint="eastAsia" w:ascii="宋体" w:hAnsi="宋体" w:eastAsia="宋体" w:cs="宋体"/>
                <w:szCs w:val="21"/>
              </w:rPr>
              <w:t>31205</w:t>
            </w:r>
          </w:p>
        </w:tc>
        <w:tc>
          <w:tcPr>
            <w:tcW w:w="2116" w:type="dxa"/>
            <w:gridSpan w:val="2"/>
            <w:shd w:val="clear" w:color="auto" w:fill="auto"/>
          </w:tcPr>
          <w:p w14:paraId="53001550">
            <w:pPr>
              <w:overflowPunct w:val="0"/>
              <w:autoSpaceDE w:val="0"/>
              <w:autoSpaceDN w:val="0"/>
              <w:jc w:val="left"/>
              <w:rPr>
                <w:rFonts w:ascii="宋体" w:hAnsi="宋体" w:eastAsia="宋体" w:cs="宋体"/>
                <w:szCs w:val="21"/>
              </w:rPr>
            </w:pPr>
            <w:r>
              <w:rPr>
                <w:rFonts w:hint="eastAsia" w:ascii="宋体" w:hAnsi="宋体" w:eastAsia="宋体" w:cs="宋体"/>
                <w:szCs w:val="21"/>
              </w:rPr>
              <w:t>利息补贴</w:t>
            </w:r>
          </w:p>
        </w:tc>
        <w:tc>
          <w:tcPr>
            <w:tcW w:w="1183" w:type="dxa"/>
            <w:shd w:val="clear" w:color="auto" w:fill="auto"/>
          </w:tcPr>
          <w:p w14:paraId="0EC7CEF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378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14:paraId="4F3CE555">
            <w:pPr>
              <w:overflowPunct w:val="0"/>
              <w:autoSpaceDE w:val="0"/>
              <w:autoSpaceDN w:val="0"/>
              <w:rPr>
                <w:rFonts w:ascii="宋体" w:hAnsi="宋体" w:eastAsia="宋体" w:cs="宋体"/>
                <w:szCs w:val="21"/>
              </w:rPr>
            </w:pPr>
            <w:r>
              <w:rPr>
                <w:rFonts w:hint="eastAsia" w:ascii="宋体" w:hAnsi="宋体" w:eastAsia="宋体" w:cs="宋体"/>
                <w:szCs w:val="21"/>
              </w:rPr>
              <w:t>30310</w:t>
            </w:r>
          </w:p>
        </w:tc>
        <w:tc>
          <w:tcPr>
            <w:tcW w:w="2860" w:type="dxa"/>
            <w:shd w:val="clear" w:color="auto" w:fill="auto"/>
          </w:tcPr>
          <w:p w14:paraId="754F110D">
            <w:pPr>
              <w:overflowPunct w:val="0"/>
              <w:autoSpaceDE w:val="0"/>
              <w:autoSpaceDN w:val="0"/>
              <w:jc w:val="left"/>
              <w:rPr>
                <w:rFonts w:ascii="宋体" w:hAnsi="宋体" w:eastAsia="宋体" w:cs="宋体"/>
                <w:szCs w:val="21"/>
              </w:rPr>
            </w:pPr>
            <w:r>
              <w:rPr>
                <w:rFonts w:hint="eastAsia" w:ascii="宋体" w:hAnsi="宋体" w:eastAsia="宋体" w:cs="宋体"/>
                <w:szCs w:val="21"/>
              </w:rPr>
              <w:t>个人农业生产补贴</w:t>
            </w:r>
          </w:p>
        </w:tc>
        <w:tc>
          <w:tcPr>
            <w:tcW w:w="1178" w:type="dxa"/>
            <w:shd w:val="clear" w:color="auto" w:fill="auto"/>
          </w:tcPr>
          <w:p w14:paraId="0C1FAAC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4F921C16">
            <w:pPr>
              <w:overflowPunct w:val="0"/>
              <w:autoSpaceDE w:val="0"/>
              <w:autoSpaceDN w:val="0"/>
              <w:rPr>
                <w:rFonts w:ascii="宋体" w:hAnsi="宋体" w:eastAsia="宋体" w:cs="宋体"/>
                <w:szCs w:val="21"/>
              </w:rPr>
            </w:pPr>
            <w:r>
              <w:rPr>
                <w:rFonts w:hint="eastAsia" w:ascii="宋体" w:hAnsi="宋体" w:eastAsia="宋体" w:cs="宋体"/>
                <w:szCs w:val="21"/>
              </w:rPr>
              <w:t>30231</w:t>
            </w:r>
          </w:p>
        </w:tc>
        <w:tc>
          <w:tcPr>
            <w:tcW w:w="2019" w:type="dxa"/>
            <w:shd w:val="clear" w:color="auto" w:fill="auto"/>
          </w:tcPr>
          <w:p w14:paraId="6708E4F5">
            <w:pPr>
              <w:overflowPunct w:val="0"/>
              <w:autoSpaceDE w:val="0"/>
              <w:autoSpaceDN w:val="0"/>
              <w:jc w:val="left"/>
              <w:rPr>
                <w:rFonts w:ascii="宋体" w:hAnsi="宋体" w:eastAsia="宋体" w:cs="宋体"/>
                <w:szCs w:val="21"/>
              </w:rPr>
            </w:pPr>
            <w:r>
              <w:rPr>
                <w:rFonts w:hint="eastAsia" w:ascii="宋体" w:hAnsi="宋体" w:eastAsia="宋体" w:cs="宋体"/>
                <w:szCs w:val="21"/>
              </w:rPr>
              <w:t>公务用车运行维护费</w:t>
            </w:r>
          </w:p>
        </w:tc>
        <w:tc>
          <w:tcPr>
            <w:tcW w:w="1047" w:type="dxa"/>
            <w:shd w:val="clear" w:color="auto" w:fill="auto"/>
          </w:tcPr>
          <w:p w14:paraId="69F99A4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63DFECA3">
            <w:pPr>
              <w:overflowPunct w:val="0"/>
              <w:autoSpaceDE w:val="0"/>
              <w:autoSpaceDN w:val="0"/>
              <w:rPr>
                <w:rFonts w:ascii="宋体" w:hAnsi="宋体" w:eastAsia="宋体" w:cs="宋体"/>
                <w:szCs w:val="21"/>
              </w:rPr>
            </w:pPr>
            <w:r>
              <w:rPr>
                <w:rFonts w:hint="eastAsia" w:ascii="宋体" w:hAnsi="宋体" w:eastAsia="宋体" w:cs="宋体"/>
                <w:szCs w:val="21"/>
              </w:rPr>
              <w:t>31206</w:t>
            </w:r>
          </w:p>
        </w:tc>
        <w:tc>
          <w:tcPr>
            <w:tcW w:w="2116" w:type="dxa"/>
            <w:gridSpan w:val="2"/>
            <w:shd w:val="clear" w:color="auto" w:fill="auto"/>
          </w:tcPr>
          <w:p w14:paraId="690755FE">
            <w:pPr>
              <w:overflowPunct w:val="0"/>
              <w:autoSpaceDE w:val="0"/>
              <w:autoSpaceDN w:val="0"/>
              <w:rPr>
                <w:rFonts w:ascii="宋体" w:hAnsi="宋体" w:eastAsia="宋体" w:cs="宋体"/>
                <w:szCs w:val="21"/>
              </w:rPr>
            </w:pPr>
            <w:r>
              <w:rPr>
                <w:rFonts w:hint="eastAsia" w:ascii="宋体" w:hAnsi="宋体" w:eastAsia="宋体" w:cs="宋体"/>
                <w:szCs w:val="21"/>
              </w:rPr>
              <w:t>其他资本性补助</w:t>
            </w:r>
          </w:p>
        </w:tc>
        <w:tc>
          <w:tcPr>
            <w:tcW w:w="1183" w:type="dxa"/>
            <w:shd w:val="clear" w:color="auto" w:fill="auto"/>
          </w:tcPr>
          <w:p w14:paraId="59BCCB4E">
            <w:pPr>
              <w:widowControl/>
              <w:overflowPunct w:val="0"/>
              <w:autoSpaceDE w:val="0"/>
              <w:autoSpaceDN w:val="0"/>
              <w:jc w:val="center"/>
              <w:textAlignment w:val="center"/>
              <w:rPr>
                <w:rFonts w:ascii="宋体" w:hAnsi="宋体" w:eastAsia="宋体" w:cs="宋体"/>
                <w:color w:val="000000"/>
                <w:sz w:val="22"/>
              </w:rPr>
            </w:pPr>
            <w:r>
              <w:rPr>
                <w:rFonts w:hint="eastAsia" w:ascii="宋体" w:hAnsi="宋体" w:eastAsia="宋体" w:cs="宋体"/>
                <w:color w:val="000000"/>
                <w:kern w:val="0"/>
                <w:szCs w:val="21"/>
              </w:rPr>
              <w:t>0.00</w:t>
            </w:r>
          </w:p>
        </w:tc>
      </w:tr>
      <w:tr w14:paraId="2A93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14:paraId="34964F7C">
            <w:pPr>
              <w:overflowPunct w:val="0"/>
              <w:autoSpaceDE w:val="0"/>
              <w:autoSpaceDN w:val="0"/>
              <w:rPr>
                <w:rFonts w:ascii="宋体" w:hAnsi="宋体" w:eastAsia="宋体" w:cs="宋体"/>
                <w:szCs w:val="21"/>
              </w:rPr>
            </w:pPr>
            <w:r>
              <w:rPr>
                <w:rFonts w:hint="eastAsia" w:ascii="宋体" w:hAnsi="宋体" w:eastAsia="宋体" w:cs="宋体"/>
                <w:szCs w:val="21"/>
              </w:rPr>
              <w:t>30311</w:t>
            </w:r>
          </w:p>
        </w:tc>
        <w:tc>
          <w:tcPr>
            <w:tcW w:w="2860" w:type="dxa"/>
            <w:shd w:val="clear" w:color="auto" w:fill="auto"/>
          </w:tcPr>
          <w:p w14:paraId="5F8F4272">
            <w:pPr>
              <w:overflowPunct w:val="0"/>
              <w:autoSpaceDE w:val="0"/>
              <w:autoSpaceDN w:val="0"/>
              <w:jc w:val="left"/>
              <w:rPr>
                <w:rFonts w:ascii="宋体" w:hAnsi="宋体" w:eastAsia="宋体" w:cs="宋体"/>
                <w:szCs w:val="21"/>
              </w:rPr>
            </w:pPr>
            <w:r>
              <w:rPr>
                <w:rFonts w:hint="eastAsia" w:ascii="宋体" w:hAnsi="宋体" w:eastAsia="宋体" w:cs="宋体"/>
                <w:szCs w:val="21"/>
              </w:rPr>
              <w:t>代缴社会保险费</w:t>
            </w:r>
          </w:p>
        </w:tc>
        <w:tc>
          <w:tcPr>
            <w:tcW w:w="1178" w:type="dxa"/>
            <w:shd w:val="clear" w:color="auto" w:fill="auto"/>
            <w:vAlign w:val="center"/>
          </w:tcPr>
          <w:p w14:paraId="4CE81A6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3ED51581">
            <w:pPr>
              <w:overflowPunct w:val="0"/>
              <w:autoSpaceDE w:val="0"/>
              <w:autoSpaceDN w:val="0"/>
              <w:rPr>
                <w:rFonts w:ascii="宋体" w:hAnsi="宋体" w:eastAsia="宋体" w:cs="宋体"/>
                <w:szCs w:val="21"/>
              </w:rPr>
            </w:pPr>
            <w:r>
              <w:rPr>
                <w:rFonts w:hint="eastAsia" w:ascii="宋体" w:hAnsi="宋体" w:eastAsia="宋体" w:cs="宋体"/>
                <w:szCs w:val="21"/>
              </w:rPr>
              <w:t>30239</w:t>
            </w:r>
          </w:p>
        </w:tc>
        <w:tc>
          <w:tcPr>
            <w:tcW w:w="2019" w:type="dxa"/>
            <w:shd w:val="clear" w:color="auto" w:fill="auto"/>
          </w:tcPr>
          <w:p w14:paraId="25B0696D">
            <w:pPr>
              <w:overflowPunct w:val="0"/>
              <w:autoSpaceDE w:val="0"/>
              <w:autoSpaceDN w:val="0"/>
              <w:jc w:val="left"/>
              <w:rPr>
                <w:rFonts w:ascii="宋体" w:hAnsi="宋体" w:eastAsia="宋体" w:cs="宋体"/>
                <w:szCs w:val="21"/>
              </w:rPr>
            </w:pPr>
            <w:r>
              <w:rPr>
                <w:rFonts w:hint="eastAsia" w:ascii="宋体" w:hAnsi="宋体" w:eastAsia="宋体" w:cs="宋体"/>
                <w:szCs w:val="21"/>
              </w:rPr>
              <w:t>其他交通费用</w:t>
            </w:r>
          </w:p>
        </w:tc>
        <w:tc>
          <w:tcPr>
            <w:tcW w:w="1047" w:type="dxa"/>
            <w:shd w:val="clear" w:color="auto" w:fill="auto"/>
          </w:tcPr>
          <w:p w14:paraId="11B99937">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15C7FD00">
            <w:pPr>
              <w:overflowPunct w:val="0"/>
              <w:autoSpaceDE w:val="0"/>
              <w:autoSpaceDN w:val="0"/>
              <w:rPr>
                <w:rFonts w:ascii="宋体" w:hAnsi="宋体" w:eastAsia="宋体" w:cs="宋体"/>
                <w:szCs w:val="21"/>
              </w:rPr>
            </w:pPr>
            <w:r>
              <w:rPr>
                <w:rFonts w:hint="eastAsia" w:ascii="宋体" w:hAnsi="宋体" w:eastAsia="宋体" w:cs="宋体"/>
                <w:szCs w:val="21"/>
              </w:rPr>
              <w:t>31299</w:t>
            </w:r>
          </w:p>
        </w:tc>
        <w:tc>
          <w:tcPr>
            <w:tcW w:w="2116" w:type="dxa"/>
            <w:gridSpan w:val="2"/>
            <w:shd w:val="clear" w:color="auto" w:fill="auto"/>
          </w:tcPr>
          <w:p w14:paraId="6AFED4B3">
            <w:pPr>
              <w:overflowPunct w:val="0"/>
              <w:autoSpaceDE w:val="0"/>
              <w:autoSpaceDN w:val="0"/>
              <w:jc w:val="left"/>
              <w:rPr>
                <w:rFonts w:ascii="宋体" w:hAnsi="宋体" w:eastAsia="宋体" w:cs="宋体"/>
                <w:szCs w:val="21"/>
              </w:rPr>
            </w:pPr>
            <w:r>
              <w:rPr>
                <w:rFonts w:hint="eastAsia" w:ascii="宋体" w:hAnsi="宋体" w:eastAsia="宋体" w:cs="宋体"/>
                <w:szCs w:val="21"/>
              </w:rPr>
              <w:t>其他对企业补助</w:t>
            </w:r>
          </w:p>
        </w:tc>
        <w:tc>
          <w:tcPr>
            <w:tcW w:w="1183" w:type="dxa"/>
            <w:shd w:val="clear" w:color="auto" w:fill="auto"/>
          </w:tcPr>
          <w:p w14:paraId="35ED9B1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68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vAlign w:val="center"/>
          </w:tcPr>
          <w:p w14:paraId="75584D18">
            <w:pPr>
              <w:overflowPunct w:val="0"/>
              <w:autoSpaceDE w:val="0"/>
              <w:autoSpaceDN w:val="0"/>
              <w:jc w:val="left"/>
              <w:rPr>
                <w:rFonts w:ascii="宋体" w:hAnsi="宋体" w:eastAsia="宋体" w:cs="宋体"/>
                <w:kern w:val="0"/>
                <w:szCs w:val="21"/>
              </w:rPr>
            </w:pPr>
            <w:r>
              <w:rPr>
                <w:rFonts w:hint="eastAsia" w:ascii="宋体" w:hAnsi="宋体" w:eastAsia="宋体" w:cs="宋体"/>
                <w:szCs w:val="21"/>
              </w:rPr>
              <w:t>30399</w:t>
            </w:r>
          </w:p>
        </w:tc>
        <w:tc>
          <w:tcPr>
            <w:tcW w:w="2860" w:type="dxa"/>
            <w:shd w:val="clear" w:color="auto" w:fill="auto"/>
            <w:vAlign w:val="center"/>
          </w:tcPr>
          <w:p w14:paraId="08F81835">
            <w:pPr>
              <w:widowControl/>
              <w:overflowPunct w:val="0"/>
              <w:autoSpaceDE w:val="0"/>
              <w:autoSpaceDN w:val="0"/>
              <w:spacing w:line="240" w:lineRule="auto"/>
              <w:ind w:firstLine="210" w:firstLineChars="100"/>
              <w:jc w:val="left"/>
              <w:rPr>
                <w:rFonts w:ascii="宋体" w:hAnsi="宋体" w:eastAsia="宋体" w:cs="宋体"/>
                <w:kern w:val="0"/>
                <w:szCs w:val="21"/>
              </w:rPr>
            </w:pPr>
            <w:r>
              <w:rPr>
                <w:rFonts w:hint="eastAsia" w:ascii="宋体" w:hAnsi="宋体" w:eastAsia="宋体" w:cs="宋体"/>
                <w:kern w:val="0"/>
                <w:szCs w:val="21"/>
              </w:rPr>
              <w:t>其他对个人和家庭的补助</w:t>
            </w:r>
          </w:p>
        </w:tc>
        <w:tc>
          <w:tcPr>
            <w:tcW w:w="1178" w:type="dxa"/>
            <w:shd w:val="clear" w:color="auto" w:fill="auto"/>
            <w:vAlign w:val="center"/>
          </w:tcPr>
          <w:p w14:paraId="722699A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14:paraId="107AAAFA">
            <w:pPr>
              <w:overflowPunct w:val="0"/>
              <w:autoSpaceDE w:val="0"/>
              <w:autoSpaceDN w:val="0"/>
              <w:rPr>
                <w:rFonts w:ascii="宋体" w:hAnsi="宋体" w:eastAsia="宋体" w:cs="宋体"/>
                <w:szCs w:val="21"/>
              </w:rPr>
            </w:pPr>
            <w:r>
              <w:rPr>
                <w:rFonts w:hint="eastAsia" w:ascii="宋体" w:hAnsi="宋体" w:eastAsia="宋体" w:cs="宋体"/>
                <w:szCs w:val="21"/>
              </w:rPr>
              <w:t>30240</w:t>
            </w:r>
          </w:p>
        </w:tc>
        <w:tc>
          <w:tcPr>
            <w:tcW w:w="2019" w:type="dxa"/>
            <w:shd w:val="clear" w:color="auto" w:fill="auto"/>
          </w:tcPr>
          <w:p w14:paraId="732D00CC">
            <w:pPr>
              <w:overflowPunct w:val="0"/>
              <w:autoSpaceDE w:val="0"/>
              <w:autoSpaceDN w:val="0"/>
              <w:jc w:val="left"/>
              <w:rPr>
                <w:rFonts w:ascii="宋体" w:hAnsi="宋体" w:eastAsia="宋体" w:cs="宋体"/>
                <w:szCs w:val="21"/>
              </w:rPr>
            </w:pPr>
            <w:r>
              <w:rPr>
                <w:rFonts w:hint="eastAsia" w:ascii="宋体" w:hAnsi="宋体" w:eastAsia="宋体" w:cs="宋体"/>
                <w:szCs w:val="21"/>
              </w:rPr>
              <w:t>税金及附加费用</w:t>
            </w:r>
          </w:p>
        </w:tc>
        <w:tc>
          <w:tcPr>
            <w:tcW w:w="1047" w:type="dxa"/>
            <w:shd w:val="clear" w:color="auto" w:fill="auto"/>
          </w:tcPr>
          <w:p w14:paraId="04A42BB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6F01A249">
            <w:pPr>
              <w:overflowPunct w:val="0"/>
              <w:autoSpaceDE w:val="0"/>
              <w:autoSpaceDN w:val="0"/>
              <w:rPr>
                <w:rFonts w:ascii="宋体" w:hAnsi="宋体" w:eastAsia="宋体" w:cs="宋体"/>
                <w:szCs w:val="21"/>
              </w:rPr>
            </w:pPr>
            <w:r>
              <w:rPr>
                <w:rFonts w:hint="eastAsia" w:ascii="宋体" w:hAnsi="宋体" w:eastAsia="宋体" w:cs="宋体"/>
                <w:szCs w:val="21"/>
              </w:rPr>
              <w:t>399</w:t>
            </w:r>
          </w:p>
        </w:tc>
        <w:tc>
          <w:tcPr>
            <w:tcW w:w="2116" w:type="dxa"/>
            <w:gridSpan w:val="2"/>
            <w:shd w:val="clear" w:color="auto" w:fill="auto"/>
          </w:tcPr>
          <w:p w14:paraId="475C6AEB">
            <w:pPr>
              <w:overflowPunct w:val="0"/>
              <w:autoSpaceDE w:val="0"/>
              <w:autoSpaceDN w:val="0"/>
              <w:jc w:val="left"/>
              <w:rPr>
                <w:rFonts w:ascii="宋体" w:hAnsi="宋体" w:eastAsia="宋体" w:cs="宋体"/>
                <w:szCs w:val="21"/>
              </w:rPr>
            </w:pPr>
            <w:r>
              <w:rPr>
                <w:rFonts w:hint="eastAsia" w:ascii="宋体" w:hAnsi="宋体" w:eastAsia="宋体" w:cs="宋体"/>
                <w:szCs w:val="21"/>
              </w:rPr>
              <w:t>其他支出</w:t>
            </w:r>
          </w:p>
        </w:tc>
        <w:tc>
          <w:tcPr>
            <w:tcW w:w="1183" w:type="dxa"/>
            <w:shd w:val="clear" w:color="auto" w:fill="auto"/>
          </w:tcPr>
          <w:p w14:paraId="2067671E">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CA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15" w:type="dxa"/>
            <w:shd w:val="clear" w:color="auto" w:fill="auto"/>
            <w:vAlign w:val="center"/>
          </w:tcPr>
          <w:p w14:paraId="138E2DAA">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14:paraId="1D1DD002">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14:paraId="20E5EE68">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56644567">
            <w:pPr>
              <w:overflowPunct w:val="0"/>
              <w:autoSpaceDE w:val="0"/>
              <w:autoSpaceDN w:val="0"/>
              <w:rPr>
                <w:rFonts w:ascii="宋体" w:hAnsi="宋体" w:eastAsia="宋体" w:cs="宋体"/>
                <w:szCs w:val="21"/>
              </w:rPr>
            </w:pPr>
            <w:r>
              <w:rPr>
                <w:rFonts w:hint="eastAsia" w:ascii="宋体" w:hAnsi="宋体" w:eastAsia="宋体" w:cs="宋体"/>
                <w:szCs w:val="21"/>
              </w:rPr>
              <w:t>30299</w:t>
            </w:r>
          </w:p>
        </w:tc>
        <w:tc>
          <w:tcPr>
            <w:tcW w:w="2019" w:type="dxa"/>
            <w:shd w:val="clear" w:color="auto" w:fill="auto"/>
          </w:tcPr>
          <w:p w14:paraId="53DB3E69">
            <w:pPr>
              <w:overflowPunct w:val="0"/>
              <w:autoSpaceDE w:val="0"/>
              <w:autoSpaceDN w:val="0"/>
              <w:jc w:val="left"/>
              <w:rPr>
                <w:rFonts w:ascii="宋体" w:hAnsi="宋体" w:eastAsia="宋体" w:cs="宋体"/>
                <w:szCs w:val="21"/>
              </w:rPr>
            </w:pPr>
            <w:r>
              <w:rPr>
                <w:rFonts w:hint="eastAsia" w:ascii="宋体" w:hAnsi="宋体" w:eastAsia="宋体" w:cs="宋体"/>
                <w:szCs w:val="21"/>
              </w:rPr>
              <w:t>其他商品和服务支出</w:t>
            </w:r>
          </w:p>
        </w:tc>
        <w:tc>
          <w:tcPr>
            <w:tcW w:w="1047" w:type="dxa"/>
            <w:shd w:val="clear" w:color="auto" w:fill="auto"/>
          </w:tcPr>
          <w:p w14:paraId="3F80A7D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2.18</w:t>
            </w:r>
          </w:p>
        </w:tc>
        <w:tc>
          <w:tcPr>
            <w:tcW w:w="1099" w:type="dxa"/>
            <w:gridSpan w:val="2"/>
            <w:shd w:val="clear" w:color="auto" w:fill="auto"/>
          </w:tcPr>
          <w:p w14:paraId="353733BF">
            <w:pPr>
              <w:overflowPunct w:val="0"/>
              <w:autoSpaceDE w:val="0"/>
              <w:autoSpaceDN w:val="0"/>
              <w:rPr>
                <w:rFonts w:ascii="宋体" w:hAnsi="宋体" w:eastAsia="宋体" w:cs="宋体"/>
                <w:szCs w:val="21"/>
              </w:rPr>
            </w:pPr>
            <w:r>
              <w:rPr>
                <w:rFonts w:hint="eastAsia" w:ascii="宋体" w:hAnsi="宋体" w:eastAsia="宋体" w:cs="宋体"/>
                <w:szCs w:val="21"/>
              </w:rPr>
              <w:t>39907</w:t>
            </w:r>
          </w:p>
        </w:tc>
        <w:tc>
          <w:tcPr>
            <w:tcW w:w="2116" w:type="dxa"/>
            <w:gridSpan w:val="2"/>
            <w:shd w:val="clear" w:color="auto" w:fill="auto"/>
          </w:tcPr>
          <w:p w14:paraId="6DCB5355">
            <w:pPr>
              <w:overflowPunct w:val="0"/>
              <w:autoSpaceDE w:val="0"/>
              <w:autoSpaceDN w:val="0"/>
              <w:jc w:val="left"/>
              <w:rPr>
                <w:rFonts w:ascii="宋体" w:hAnsi="宋体" w:eastAsia="宋体" w:cs="宋体"/>
                <w:szCs w:val="21"/>
              </w:rPr>
            </w:pPr>
            <w:r>
              <w:rPr>
                <w:rFonts w:hint="eastAsia" w:ascii="宋体" w:hAnsi="宋体" w:eastAsia="宋体" w:cs="宋体"/>
                <w:szCs w:val="21"/>
              </w:rPr>
              <w:t>国家赔偿费用支出</w:t>
            </w:r>
          </w:p>
        </w:tc>
        <w:tc>
          <w:tcPr>
            <w:tcW w:w="1183" w:type="dxa"/>
            <w:shd w:val="clear" w:color="auto" w:fill="auto"/>
          </w:tcPr>
          <w:p w14:paraId="519A83F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D61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15" w:type="dxa"/>
            <w:shd w:val="clear" w:color="auto" w:fill="auto"/>
            <w:vAlign w:val="center"/>
          </w:tcPr>
          <w:p w14:paraId="5682325B">
            <w:pPr>
              <w:widowControl/>
              <w:overflowPunct w:val="0"/>
              <w:autoSpaceDE w:val="0"/>
              <w:autoSpaceDN w:val="0"/>
              <w:spacing w:line="240" w:lineRule="auto"/>
              <w:jc w:val="left"/>
              <w:rPr>
                <w:rFonts w:ascii="宋体" w:hAnsi="宋体" w:eastAsia="宋体" w:cs="宋体"/>
                <w:kern w:val="0"/>
                <w:szCs w:val="21"/>
              </w:rPr>
            </w:pPr>
          </w:p>
        </w:tc>
        <w:tc>
          <w:tcPr>
            <w:tcW w:w="2860" w:type="dxa"/>
            <w:shd w:val="clear" w:color="auto" w:fill="auto"/>
            <w:vAlign w:val="center"/>
          </w:tcPr>
          <w:p w14:paraId="2B8A1CC3">
            <w:pPr>
              <w:widowControl/>
              <w:overflowPunct w:val="0"/>
              <w:autoSpaceDE w:val="0"/>
              <w:autoSpaceDN w:val="0"/>
              <w:spacing w:line="240" w:lineRule="auto"/>
              <w:jc w:val="left"/>
              <w:rPr>
                <w:rFonts w:ascii="宋体" w:hAnsi="宋体" w:eastAsia="宋体" w:cs="宋体"/>
                <w:kern w:val="0"/>
                <w:szCs w:val="21"/>
              </w:rPr>
            </w:pPr>
          </w:p>
        </w:tc>
        <w:tc>
          <w:tcPr>
            <w:tcW w:w="1178" w:type="dxa"/>
            <w:shd w:val="clear" w:color="auto" w:fill="auto"/>
            <w:vAlign w:val="center"/>
          </w:tcPr>
          <w:p w14:paraId="4342C22C">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1A9174D7">
            <w:pPr>
              <w:overflowPunct w:val="0"/>
              <w:autoSpaceDE w:val="0"/>
              <w:autoSpaceDN w:val="0"/>
              <w:rPr>
                <w:rFonts w:ascii="宋体" w:hAnsi="宋体" w:eastAsia="宋体" w:cs="宋体"/>
                <w:szCs w:val="21"/>
              </w:rPr>
            </w:pPr>
            <w:r>
              <w:rPr>
                <w:rFonts w:hint="eastAsia" w:ascii="宋体" w:hAnsi="宋体" w:eastAsia="宋体" w:cs="宋体"/>
                <w:szCs w:val="21"/>
              </w:rPr>
              <w:t>307</w:t>
            </w:r>
          </w:p>
        </w:tc>
        <w:tc>
          <w:tcPr>
            <w:tcW w:w="2019" w:type="dxa"/>
            <w:shd w:val="clear" w:color="auto" w:fill="auto"/>
          </w:tcPr>
          <w:p w14:paraId="5014FCD9">
            <w:pPr>
              <w:overflowPunct w:val="0"/>
              <w:autoSpaceDE w:val="0"/>
              <w:autoSpaceDN w:val="0"/>
              <w:jc w:val="left"/>
              <w:rPr>
                <w:rFonts w:ascii="宋体" w:hAnsi="宋体" w:eastAsia="宋体" w:cs="宋体"/>
                <w:szCs w:val="21"/>
              </w:rPr>
            </w:pPr>
            <w:r>
              <w:rPr>
                <w:rFonts w:hint="eastAsia" w:ascii="宋体" w:hAnsi="宋体" w:eastAsia="宋体" w:cs="宋体"/>
                <w:szCs w:val="21"/>
              </w:rPr>
              <w:t>债务利息及费用支出</w:t>
            </w:r>
          </w:p>
        </w:tc>
        <w:tc>
          <w:tcPr>
            <w:tcW w:w="1047" w:type="dxa"/>
            <w:shd w:val="clear" w:color="auto" w:fill="auto"/>
          </w:tcPr>
          <w:p w14:paraId="535987F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38AFE2AC">
            <w:pPr>
              <w:overflowPunct w:val="0"/>
              <w:autoSpaceDE w:val="0"/>
              <w:autoSpaceDN w:val="0"/>
              <w:rPr>
                <w:rFonts w:ascii="宋体" w:hAnsi="宋体" w:eastAsia="宋体" w:cs="宋体"/>
                <w:szCs w:val="21"/>
              </w:rPr>
            </w:pPr>
            <w:r>
              <w:rPr>
                <w:rFonts w:hint="eastAsia" w:ascii="宋体" w:hAnsi="宋体" w:eastAsia="宋体" w:cs="宋体"/>
                <w:szCs w:val="21"/>
              </w:rPr>
              <w:t>39908</w:t>
            </w:r>
          </w:p>
        </w:tc>
        <w:tc>
          <w:tcPr>
            <w:tcW w:w="2116" w:type="dxa"/>
            <w:gridSpan w:val="2"/>
            <w:shd w:val="clear" w:color="auto" w:fill="auto"/>
          </w:tcPr>
          <w:p w14:paraId="04266FD0">
            <w:pPr>
              <w:overflowPunct w:val="0"/>
              <w:autoSpaceDE w:val="0"/>
              <w:autoSpaceDN w:val="0"/>
              <w:jc w:val="left"/>
              <w:rPr>
                <w:rFonts w:ascii="宋体" w:hAnsi="宋体" w:eastAsia="宋体" w:cs="宋体"/>
                <w:szCs w:val="21"/>
              </w:rPr>
            </w:pPr>
            <w:r>
              <w:rPr>
                <w:rFonts w:hint="eastAsia" w:ascii="宋体" w:hAnsi="宋体" w:eastAsia="宋体" w:cs="宋体"/>
                <w:szCs w:val="21"/>
              </w:rPr>
              <w:t>对民间非营利组织和群众性自治组织补贴</w:t>
            </w:r>
          </w:p>
        </w:tc>
        <w:tc>
          <w:tcPr>
            <w:tcW w:w="1183" w:type="dxa"/>
            <w:shd w:val="clear" w:color="auto" w:fill="auto"/>
          </w:tcPr>
          <w:p w14:paraId="4F06A1FD">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C5F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vAlign w:val="center"/>
          </w:tcPr>
          <w:p w14:paraId="275FA4C5">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14:paraId="68530A2A">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14:paraId="60D0D8F4">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02032B66">
            <w:pPr>
              <w:overflowPunct w:val="0"/>
              <w:autoSpaceDE w:val="0"/>
              <w:autoSpaceDN w:val="0"/>
              <w:rPr>
                <w:rFonts w:ascii="宋体" w:hAnsi="宋体" w:eastAsia="宋体" w:cs="宋体"/>
                <w:szCs w:val="21"/>
              </w:rPr>
            </w:pPr>
            <w:r>
              <w:rPr>
                <w:rFonts w:hint="eastAsia" w:ascii="宋体" w:hAnsi="宋体" w:eastAsia="宋体" w:cs="宋体"/>
                <w:szCs w:val="21"/>
              </w:rPr>
              <w:t>30701</w:t>
            </w:r>
          </w:p>
        </w:tc>
        <w:tc>
          <w:tcPr>
            <w:tcW w:w="2019" w:type="dxa"/>
            <w:shd w:val="clear" w:color="auto" w:fill="auto"/>
          </w:tcPr>
          <w:p w14:paraId="1DAEBED0">
            <w:pPr>
              <w:overflowPunct w:val="0"/>
              <w:autoSpaceDE w:val="0"/>
              <w:autoSpaceDN w:val="0"/>
              <w:jc w:val="left"/>
              <w:rPr>
                <w:rFonts w:ascii="宋体" w:hAnsi="宋体" w:eastAsia="宋体" w:cs="宋体"/>
                <w:szCs w:val="21"/>
              </w:rPr>
            </w:pPr>
            <w:r>
              <w:rPr>
                <w:rFonts w:hint="eastAsia" w:ascii="宋体" w:hAnsi="宋体" w:eastAsia="宋体" w:cs="宋体"/>
                <w:szCs w:val="21"/>
              </w:rPr>
              <w:t>国内债务付息</w:t>
            </w:r>
          </w:p>
        </w:tc>
        <w:tc>
          <w:tcPr>
            <w:tcW w:w="1047" w:type="dxa"/>
            <w:shd w:val="clear" w:color="auto" w:fill="auto"/>
          </w:tcPr>
          <w:p w14:paraId="088921B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7B14B935">
            <w:pPr>
              <w:overflowPunct w:val="0"/>
              <w:autoSpaceDE w:val="0"/>
              <w:autoSpaceDN w:val="0"/>
              <w:rPr>
                <w:rFonts w:ascii="宋体" w:hAnsi="宋体" w:eastAsia="宋体" w:cs="宋体"/>
                <w:szCs w:val="21"/>
              </w:rPr>
            </w:pPr>
            <w:r>
              <w:rPr>
                <w:rFonts w:hint="eastAsia" w:ascii="宋体" w:hAnsi="宋体" w:eastAsia="宋体" w:cs="宋体"/>
                <w:szCs w:val="21"/>
              </w:rPr>
              <w:t>39909</w:t>
            </w:r>
          </w:p>
        </w:tc>
        <w:tc>
          <w:tcPr>
            <w:tcW w:w="2116" w:type="dxa"/>
            <w:gridSpan w:val="2"/>
            <w:shd w:val="clear" w:color="auto" w:fill="auto"/>
          </w:tcPr>
          <w:p w14:paraId="23E094AB">
            <w:pPr>
              <w:overflowPunct w:val="0"/>
              <w:autoSpaceDE w:val="0"/>
              <w:autoSpaceDN w:val="0"/>
              <w:ind w:firstLine="210" w:firstLineChars="100"/>
              <w:jc w:val="left"/>
              <w:rPr>
                <w:rFonts w:ascii="宋体" w:hAnsi="宋体" w:eastAsia="宋体" w:cs="宋体"/>
                <w:szCs w:val="21"/>
              </w:rPr>
            </w:pPr>
            <w:r>
              <w:rPr>
                <w:rFonts w:hint="eastAsia" w:ascii="宋体" w:hAnsi="宋体" w:eastAsia="宋体" w:cs="宋体"/>
                <w:szCs w:val="21"/>
              </w:rPr>
              <w:t>经常性赠与</w:t>
            </w:r>
          </w:p>
        </w:tc>
        <w:tc>
          <w:tcPr>
            <w:tcW w:w="1183" w:type="dxa"/>
            <w:shd w:val="clear" w:color="auto" w:fill="auto"/>
          </w:tcPr>
          <w:p w14:paraId="15BE575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F1B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vAlign w:val="center"/>
          </w:tcPr>
          <w:p w14:paraId="3ED911CD">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14:paraId="0C5D0F37">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14:paraId="2050927E">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14:paraId="2DC17462">
            <w:pPr>
              <w:overflowPunct w:val="0"/>
              <w:autoSpaceDE w:val="0"/>
              <w:autoSpaceDN w:val="0"/>
              <w:rPr>
                <w:rFonts w:ascii="宋体" w:hAnsi="宋体" w:eastAsia="宋体" w:cs="宋体"/>
                <w:szCs w:val="21"/>
              </w:rPr>
            </w:pPr>
            <w:r>
              <w:rPr>
                <w:rFonts w:hint="eastAsia" w:ascii="宋体" w:hAnsi="宋体" w:eastAsia="宋体" w:cs="宋体"/>
                <w:szCs w:val="21"/>
              </w:rPr>
              <w:t>30702</w:t>
            </w:r>
          </w:p>
        </w:tc>
        <w:tc>
          <w:tcPr>
            <w:tcW w:w="2019" w:type="dxa"/>
            <w:shd w:val="clear" w:color="auto" w:fill="auto"/>
          </w:tcPr>
          <w:p w14:paraId="0BD563B0">
            <w:pPr>
              <w:overflowPunct w:val="0"/>
              <w:autoSpaceDE w:val="0"/>
              <w:autoSpaceDN w:val="0"/>
              <w:jc w:val="left"/>
              <w:rPr>
                <w:rFonts w:ascii="宋体" w:hAnsi="宋体" w:eastAsia="宋体" w:cs="宋体"/>
                <w:szCs w:val="21"/>
              </w:rPr>
            </w:pPr>
            <w:r>
              <w:rPr>
                <w:rFonts w:hint="eastAsia" w:ascii="宋体" w:hAnsi="宋体" w:eastAsia="宋体" w:cs="宋体"/>
                <w:szCs w:val="21"/>
              </w:rPr>
              <w:t>国外债务付息</w:t>
            </w:r>
          </w:p>
        </w:tc>
        <w:tc>
          <w:tcPr>
            <w:tcW w:w="1047" w:type="dxa"/>
            <w:shd w:val="clear" w:color="auto" w:fill="auto"/>
          </w:tcPr>
          <w:p w14:paraId="1DEA7AA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14:paraId="5AB9818B">
            <w:pPr>
              <w:overflowPunct w:val="0"/>
              <w:autoSpaceDE w:val="0"/>
              <w:autoSpaceDN w:val="0"/>
              <w:rPr>
                <w:rFonts w:ascii="宋体" w:hAnsi="宋体" w:eastAsia="宋体" w:cs="宋体"/>
                <w:szCs w:val="21"/>
              </w:rPr>
            </w:pPr>
            <w:r>
              <w:rPr>
                <w:rFonts w:hint="eastAsia" w:ascii="宋体" w:hAnsi="宋体" w:eastAsia="宋体" w:cs="宋体"/>
                <w:szCs w:val="21"/>
              </w:rPr>
              <w:t>39910</w:t>
            </w:r>
          </w:p>
        </w:tc>
        <w:tc>
          <w:tcPr>
            <w:tcW w:w="2116" w:type="dxa"/>
            <w:gridSpan w:val="2"/>
            <w:shd w:val="clear" w:color="auto" w:fill="auto"/>
          </w:tcPr>
          <w:p w14:paraId="64CA2941">
            <w:pPr>
              <w:overflowPunct w:val="0"/>
              <w:autoSpaceDE w:val="0"/>
              <w:autoSpaceDN w:val="0"/>
              <w:ind w:firstLine="210" w:firstLineChars="100"/>
              <w:jc w:val="left"/>
              <w:rPr>
                <w:rFonts w:ascii="宋体" w:hAnsi="宋体" w:eastAsia="宋体" w:cs="宋体"/>
                <w:szCs w:val="21"/>
              </w:rPr>
            </w:pPr>
            <w:r>
              <w:rPr>
                <w:rFonts w:hint="eastAsia" w:ascii="宋体" w:hAnsi="宋体" w:eastAsia="宋体" w:cs="宋体"/>
                <w:szCs w:val="21"/>
              </w:rPr>
              <w:t>资本性赠与</w:t>
            </w:r>
          </w:p>
        </w:tc>
        <w:tc>
          <w:tcPr>
            <w:tcW w:w="1183" w:type="dxa"/>
            <w:shd w:val="clear" w:color="auto" w:fill="auto"/>
          </w:tcPr>
          <w:p w14:paraId="68B10C7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525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75" w:type="dxa"/>
            <w:gridSpan w:val="2"/>
            <w:shd w:val="clear" w:color="auto" w:fill="auto"/>
            <w:vAlign w:val="center"/>
          </w:tcPr>
          <w:p w14:paraId="3462609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人员经费合计</w:t>
            </w:r>
          </w:p>
        </w:tc>
        <w:tc>
          <w:tcPr>
            <w:tcW w:w="2439" w:type="dxa"/>
            <w:gridSpan w:val="2"/>
            <w:shd w:val="clear" w:color="auto" w:fill="auto"/>
            <w:vAlign w:val="center"/>
          </w:tcPr>
          <w:p w14:paraId="7E67548B">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133.46</w:t>
            </w:r>
          </w:p>
        </w:tc>
        <w:tc>
          <w:tcPr>
            <w:tcW w:w="3066" w:type="dxa"/>
            <w:gridSpan w:val="2"/>
            <w:shd w:val="clear" w:color="auto" w:fill="auto"/>
            <w:vAlign w:val="center"/>
          </w:tcPr>
          <w:p w14:paraId="47C09EFF">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公用经费合计</w:t>
            </w:r>
          </w:p>
        </w:tc>
        <w:tc>
          <w:tcPr>
            <w:tcW w:w="4398" w:type="dxa"/>
            <w:gridSpan w:val="5"/>
            <w:shd w:val="clear" w:color="auto" w:fill="auto"/>
          </w:tcPr>
          <w:p w14:paraId="7E6427C6">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3.96</w:t>
            </w:r>
          </w:p>
        </w:tc>
      </w:tr>
    </w:tbl>
    <w:p w14:paraId="683A8727">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注：本表反映单位本年度一般公共预算财政拨款基本支出明细情况。</w:t>
      </w:r>
    </w:p>
    <w:p w14:paraId="0429DD36">
      <w:pPr>
        <w:widowControl/>
        <w:overflowPunct w:val="0"/>
        <w:autoSpaceDE w:val="0"/>
        <w:autoSpaceDN w:val="0"/>
        <w:spacing w:line="240" w:lineRule="auto"/>
        <w:jc w:val="left"/>
        <w:rPr>
          <w:rFonts w:ascii="黑体" w:hAnsi="仿宋" w:eastAsia="黑体"/>
          <w:sz w:val="32"/>
          <w:szCs w:val="32"/>
        </w:rPr>
        <w:sectPr>
          <w:type w:val="continuous"/>
          <w:pgSz w:w="16838" w:h="11906" w:orient="landscape"/>
          <w:pgMar w:top="1440" w:right="1800" w:bottom="1440" w:left="1800" w:header="851" w:footer="992" w:gutter="0"/>
          <w:cols w:space="425" w:num="1"/>
          <w:docGrid w:type="lines" w:linePitch="312" w:charSpace="0"/>
        </w:sectPr>
      </w:pPr>
      <w:r>
        <w:rPr>
          <w:rFonts w:hint="eastAsia" w:ascii="宋体" w:hAnsi="宋体" w:eastAsia="宋体" w:cs="宋体"/>
          <w:sz w:val="24"/>
          <w:szCs w:val="24"/>
        </w:rPr>
        <w:br w:type="page"/>
      </w:r>
    </w:p>
    <w:p w14:paraId="7C5C2AFF">
      <w:pPr>
        <w:overflowPunct w:val="0"/>
        <w:autoSpaceDE w:val="0"/>
        <w:autoSpaceDN w:val="0"/>
        <w:jc w:val="left"/>
        <w:outlineLvl w:val="1"/>
        <w:rPr>
          <w:rFonts w:ascii="黑体" w:hAnsi="仿宋" w:eastAsia="黑体"/>
          <w:sz w:val="32"/>
          <w:szCs w:val="32"/>
        </w:rPr>
      </w:pPr>
      <w:bookmarkStart w:id="14" w:name="_Toc256000013"/>
      <w:r>
        <w:rPr>
          <w:rFonts w:hint="eastAsia" w:ascii="黑体" w:hAnsi="仿宋" w:eastAsia="黑体"/>
          <w:sz w:val="32"/>
          <w:szCs w:val="32"/>
        </w:rPr>
        <w:t>七、一般公共预算财政拨款“三公”经费支出决算表</w:t>
      </w:r>
      <w:bookmarkEnd w:id="14"/>
    </w:p>
    <w:p w14:paraId="223CCB9A">
      <w:pPr>
        <w:overflowPunct w:val="0"/>
        <w:autoSpaceDE w:val="0"/>
        <w:autoSpaceDN w:val="0"/>
        <w:jc w:val="center"/>
        <w:rPr>
          <w:b/>
          <w:bCs/>
          <w:sz w:val="32"/>
          <w:szCs w:val="36"/>
        </w:rPr>
      </w:pPr>
      <w:r>
        <w:rPr>
          <w:rFonts w:hint="eastAsia"/>
          <w:b/>
          <w:bCs/>
          <w:sz w:val="32"/>
          <w:szCs w:val="36"/>
        </w:rPr>
        <w:t>一般公共预算财政拨款“三公”经费支出决算表</w:t>
      </w:r>
    </w:p>
    <w:tbl>
      <w:tblPr>
        <w:tblStyle w:val="11"/>
        <w:tblW w:w="8871" w:type="dxa"/>
        <w:jc w:val="center"/>
        <w:tblLayout w:type="fixed"/>
        <w:tblCellMar>
          <w:top w:w="0" w:type="dxa"/>
          <w:left w:w="108" w:type="dxa"/>
          <w:bottom w:w="0" w:type="dxa"/>
          <w:right w:w="108" w:type="dxa"/>
        </w:tblCellMar>
      </w:tblPr>
      <w:tblGrid>
        <w:gridCol w:w="4086"/>
        <w:gridCol w:w="785"/>
        <w:gridCol w:w="4000"/>
      </w:tblGrid>
      <w:tr w14:paraId="415F8CB1">
        <w:tblPrEx>
          <w:tblCellMar>
            <w:top w:w="0" w:type="dxa"/>
            <w:left w:w="108" w:type="dxa"/>
            <w:bottom w:w="0" w:type="dxa"/>
            <w:right w:w="108" w:type="dxa"/>
          </w:tblCellMar>
        </w:tblPrEx>
        <w:trPr>
          <w:trHeight w:val="405" w:hRule="atLeast"/>
          <w:jc w:val="center"/>
        </w:trPr>
        <w:tc>
          <w:tcPr>
            <w:tcW w:w="4086" w:type="dxa"/>
            <w:tcBorders>
              <w:top w:val="nil"/>
              <w:left w:val="nil"/>
              <w:bottom w:val="nil"/>
              <w:right w:val="nil"/>
            </w:tcBorders>
            <w:shd w:val="clear" w:color="auto" w:fill="auto"/>
            <w:vAlign w:val="center"/>
          </w:tcPr>
          <w:p w14:paraId="00ABAE7B">
            <w:pPr>
              <w:widowControl/>
              <w:overflowPunct w:val="0"/>
              <w:autoSpaceDE w:val="0"/>
              <w:autoSpaceDN w:val="0"/>
              <w:spacing w:line="240" w:lineRule="auto"/>
              <w:jc w:val="center"/>
              <w:rPr>
                <w:rFonts w:ascii="黑体" w:hAnsi="宋体" w:eastAsia="黑体" w:cs="宋体"/>
                <w:kern w:val="0"/>
                <w:sz w:val="38"/>
                <w:szCs w:val="38"/>
              </w:rPr>
            </w:pPr>
          </w:p>
        </w:tc>
        <w:tc>
          <w:tcPr>
            <w:tcW w:w="785" w:type="dxa"/>
            <w:tcBorders>
              <w:top w:val="nil"/>
              <w:left w:val="nil"/>
              <w:bottom w:val="nil"/>
              <w:right w:val="nil"/>
            </w:tcBorders>
            <w:shd w:val="clear" w:color="auto" w:fill="auto"/>
            <w:vAlign w:val="center"/>
          </w:tcPr>
          <w:p w14:paraId="4C4DB18A">
            <w:pPr>
              <w:widowControl/>
              <w:overflowPunct w:val="0"/>
              <w:autoSpaceDE w:val="0"/>
              <w:autoSpaceDN w:val="0"/>
              <w:spacing w:line="240" w:lineRule="auto"/>
              <w:jc w:val="center"/>
              <w:rPr>
                <w:rFonts w:ascii="黑体" w:hAnsi="宋体" w:eastAsia="黑体" w:cs="宋体"/>
                <w:kern w:val="0"/>
                <w:sz w:val="38"/>
                <w:szCs w:val="38"/>
              </w:rPr>
            </w:pPr>
          </w:p>
        </w:tc>
        <w:tc>
          <w:tcPr>
            <w:tcW w:w="4000" w:type="dxa"/>
            <w:tcBorders>
              <w:top w:val="nil"/>
              <w:left w:val="nil"/>
              <w:bottom w:val="nil"/>
              <w:right w:val="nil"/>
            </w:tcBorders>
            <w:shd w:val="clear" w:color="000000" w:fill="FFFFFF"/>
            <w:vAlign w:val="bottom"/>
          </w:tcPr>
          <w:p w14:paraId="13247642">
            <w:pPr>
              <w:widowControl/>
              <w:overflowPunct w:val="0"/>
              <w:autoSpaceDE w:val="0"/>
              <w:autoSpaceDN w:val="0"/>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14:paraId="00BEB290">
        <w:tblPrEx>
          <w:tblCellMar>
            <w:top w:w="0" w:type="dxa"/>
            <w:left w:w="108" w:type="dxa"/>
            <w:bottom w:w="0" w:type="dxa"/>
            <w:right w:w="108" w:type="dxa"/>
          </w:tblCellMar>
        </w:tblPrEx>
        <w:trPr>
          <w:trHeight w:val="375" w:hRule="atLeast"/>
          <w:jc w:val="center"/>
        </w:trPr>
        <w:tc>
          <w:tcPr>
            <w:tcW w:w="4871" w:type="dxa"/>
            <w:gridSpan w:val="2"/>
            <w:tcBorders>
              <w:top w:val="nil"/>
              <w:left w:val="nil"/>
              <w:bottom w:val="nil"/>
              <w:right w:val="nil"/>
            </w:tcBorders>
            <w:shd w:val="clear" w:color="auto" w:fill="auto"/>
            <w:vAlign w:val="center"/>
          </w:tcPr>
          <w:p w14:paraId="4DC416BF">
            <w:pPr>
              <w:widowControl/>
              <w:overflowPunct w:val="0"/>
              <w:autoSpaceDE w:val="0"/>
              <w:autoSpaceDN w:val="0"/>
              <w:spacing w:line="240" w:lineRule="auto"/>
              <w:jc w:val="left"/>
              <w:rPr>
                <w:rFonts w:ascii="宋体" w:hAnsi="宋体" w:eastAsia="宋体" w:cs="宋体"/>
                <w:color w:val="000000"/>
                <w:kern w:val="0"/>
                <w:sz w:val="22"/>
              </w:rPr>
            </w:pPr>
            <w:r>
              <w:rPr>
                <w:rFonts w:hint="eastAsia" w:ascii="宋体" w:hAnsi="宋体" w:eastAsia="宋体" w:cs="Arial"/>
                <w:color w:val="000000"/>
                <w:kern w:val="0"/>
                <w:sz w:val="22"/>
              </w:rPr>
              <w:t>单位：福州市台江区保密技术检查中心</w:t>
            </w:r>
          </w:p>
        </w:tc>
        <w:tc>
          <w:tcPr>
            <w:tcW w:w="4000" w:type="dxa"/>
            <w:tcBorders>
              <w:top w:val="nil"/>
              <w:left w:val="nil"/>
              <w:bottom w:val="nil"/>
              <w:right w:val="nil"/>
            </w:tcBorders>
            <w:shd w:val="clear" w:color="auto" w:fill="auto"/>
            <w:vAlign w:val="center"/>
          </w:tcPr>
          <w:p w14:paraId="243ECA7F">
            <w:pPr>
              <w:widowControl/>
              <w:overflowPunct w:val="0"/>
              <w:autoSpaceDE w:val="0"/>
              <w:autoSpaceDN w:val="0"/>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14:paraId="04048EE2">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521553F1">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项目</w:t>
            </w:r>
          </w:p>
        </w:tc>
        <w:tc>
          <w:tcPr>
            <w:tcW w:w="785" w:type="dxa"/>
            <w:tcBorders>
              <w:top w:val="single" w:color="auto" w:sz="4" w:space="0"/>
              <w:left w:val="nil"/>
              <w:bottom w:val="single" w:color="auto" w:sz="4" w:space="0"/>
              <w:right w:val="single" w:color="auto" w:sz="4" w:space="0"/>
            </w:tcBorders>
            <w:shd w:val="clear" w:color="auto" w:fill="auto"/>
            <w:vAlign w:val="center"/>
          </w:tcPr>
          <w:p w14:paraId="1E586CC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行次</w:t>
            </w:r>
          </w:p>
        </w:tc>
        <w:tc>
          <w:tcPr>
            <w:tcW w:w="4000" w:type="dxa"/>
            <w:tcBorders>
              <w:top w:val="single" w:color="auto" w:sz="4" w:space="0"/>
              <w:left w:val="nil"/>
              <w:bottom w:val="single" w:color="auto" w:sz="4" w:space="0"/>
              <w:right w:val="single" w:color="auto" w:sz="4" w:space="0"/>
            </w:tcBorders>
            <w:shd w:val="clear" w:color="auto" w:fill="auto"/>
            <w:vAlign w:val="center"/>
          </w:tcPr>
          <w:p w14:paraId="78F0DDA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决算数</w:t>
            </w:r>
          </w:p>
        </w:tc>
      </w:tr>
      <w:tr w14:paraId="519BE43D">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vAlign w:val="center"/>
          </w:tcPr>
          <w:p w14:paraId="35814524">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785" w:type="dxa"/>
            <w:tcBorders>
              <w:top w:val="nil"/>
              <w:left w:val="nil"/>
              <w:bottom w:val="single" w:color="auto" w:sz="4" w:space="0"/>
              <w:right w:val="single" w:color="auto" w:sz="4" w:space="0"/>
            </w:tcBorders>
            <w:shd w:val="clear" w:color="auto" w:fill="auto"/>
            <w:vAlign w:val="center"/>
          </w:tcPr>
          <w:p w14:paraId="1F569689">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000" w:type="dxa"/>
            <w:tcBorders>
              <w:top w:val="nil"/>
              <w:left w:val="nil"/>
              <w:bottom w:val="single" w:color="auto" w:sz="4" w:space="0"/>
              <w:right w:val="single" w:color="auto" w:sz="4" w:space="0"/>
            </w:tcBorders>
            <w:shd w:val="clear" w:color="auto" w:fill="auto"/>
            <w:vAlign w:val="center"/>
          </w:tcPr>
          <w:p w14:paraId="15FCEA23">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6D4F41C">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11C54980">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 因公出国（境）费</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EFA075C">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14:paraId="412F547B">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236BE8D0">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1E006D2D">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2. 公务用车购置及运行维护费</w:t>
            </w:r>
          </w:p>
        </w:tc>
        <w:tc>
          <w:tcPr>
            <w:tcW w:w="785" w:type="dxa"/>
            <w:tcBorders>
              <w:top w:val="single" w:color="auto" w:sz="4" w:space="0"/>
              <w:left w:val="nil"/>
              <w:bottom w:val="single" w:color="auto" w:sz="4" w:space="0"/>
              <w:right w:val="single" w:color="auto" w:sz="4" w:space="0"/>
            </w:tcBorders>
            <w:shd w:val="clear" w:color="auto" w:fill="auto"/>
            <w:vAlign w:val="center"/>
          </w:tcPr>
          <w:p w14:paraId="150A7922">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000" w:type="dxa"/>
            <w:tcBorders>
              <w:top w:val="single" w:color="auto" w:sz="4" w:space="0"/>
              <w:left w:val="nil"/>
              <w:bottom w:val="single" w:color="auto" w:sz="4" w:space="0"/>
              <w:right w:val="single" w:color="auto" w:sz="4" w:space="0"/>
            </w:tcBorders>
            <w:shd w:val="clear" w:color="auto" w:fill="auto"/>
            <w:vAlign w:val="center"/>
          </w:tcPr>
          <w:p w14:paraId="5C242572">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1BA6D55B">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3A930889">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其中：（1）公务用车购置费</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45D1A23">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14:paraId="4DC54095">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397A75B4">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14:paraId="7B0F2534">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（2）公务用车运行维护费</w:t>
            </w:r>
          </w:p>
        </w:tc>
        <w:tc>
          <w:tcPr>
            <w:tcW w:w="785" w:type="dxa"/>
            <w:tcBorders>
              <w:top w:val="single" w:color="auto" w:sz="4" w:space="0"/>
              <w:left w:val="nil"/>
              <w:bottom w:val="single" w:color="auto" w:sz="4" w:space="0"/>
              <w:right w:val="single" w:color="auto" w:sz="4" w:space="0"/>
            </w:tcBorders>
            <w:shd w:val="clear" w:color="auto" w:fill="auto"/>
            <w:vAlign w:val="center"/>
          </w:tcPr>
          <w:p w14:paraId="245304EA">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000" w:type="dxa"/>
            <w:tcBorders>
              <w:top w:val="single" w:color="auto" w:sz="4" w:space="0"/>
              <w:left w:val="nil"/>
              <w:bottom w:val="single" w:color="auto" w:sz="4" w:space="0"/>
              <w:right w:val="single" w:color="auto" w:sz="4" w:space="0"/>
            </w:tcBorders>
            <w:shd w:val="clear" w:color="auto" w:fill="auto"/>
            <w:vAlign w:val="center"/>
          </w:tcPr>
          <w:p w14:paraId="597F613D">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6AAD43FC">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vAlign w:val="center"/>
          </w:tcPr>
          <w:p w14:paraId="77206508">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3. 公务接待费</w:t>
            </w:r>
          </w:p>
        </w:tc>
        <w:tc>
          <w:tcPr>
            <w:tcW w:w="785" w:type="dxa"/>
            <w:tcBorders>
              <w:top w:val="nil"/>
              <w:left w:val="nil"/>
              <w:bottom w:val="single" w:color="auto" w:sz="4" w:space="0"/>
              <w:right w:val="single" w:color="auto" w:sz="4" w:space="0"/>
            </w:tcBorders>
            <w:shd w:val="clear" w:color="auto" w:fill="auto"/>
            <w:vAlign w:val="center"/>
          </w:tcPr>
          <w:p w14:paraId="38FD0FD8">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000" w:type="dxa"/>
            <w:tcBorders>
              <w:top w:val="nil"/>
              <w:left w:val="nil"/>
              <w:bottom w:val="single" w:color="auto" w:sz="4" w:space="0"/>
              <w:right w:val="single" w:color="auto" w:sz="4" w:space="0"/>
            </w:tcBorders>
            <w:shd w:val="clear" w:color="auto" w:fill="auto"/>
            <w:vAlign w:val="center"/>
          </w:tcPr>
          <w:p w14:paraId="2AFAA6BA">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14:paraId="5C8F6865">
        <w:tblPrEx>
          <w:tblCellMar>
            <w:top w:w="0" w:type="dxa"/>
            <w:left w:w="108" w:type="dxa"/>
            <w:bottom w:w="0" w:type="dxa"/>
            <w:right w:w="108" w:type="dxa"/>
          </w:tblCellMar>
        </w:tblPrEx>
        <w:trPr>
          <w:trHeight w:val="495" w:hRule="atLeast"/>
          <w:jc w:val="center"/>
        </w:trPr>
        <w:tc>
          <w:tcPr>
            <w:tcW w:w="8871" w:type="dxa"/>
            <w:gridSpan w:val="3"/>
            <w:tcBorders>
              <w:top w:val="single" w:color="auto" w:sz="4" w:space="0"/>
              <w:left w:val="nil"/>
              <w:bottom w:val="nil"/>
              <w:right w:val="nil"/>
            </w:tcBorders>
            <w:shd w:val="clear" w:color="auto" w:fill="auto"/>
            <w:vAlign w:val="center"/>
          </w:tcPr>
          <w:p w14:paraId="42909207">
            <w:pPr>
              <w:widowControl/>
              <w:overflowPunct w:val="0"/>
              <w:autoSpaceDE w:val="0"/>
              <w:autoSpaceDN w:val="0"/>
              <w:spacing w:line="240" w:lineRule="auto"/>
              <w:jc w:val="left"/>
              <w:rPr>
                <w:rFonts w:ascii="宋体" w:hAnsi="宋体" w:eastAsia="宋体" w:cs="宋体"/>
                <w:kern w:val="0"/>
                <w:sz w:val="24"/>
                <w:szCs w:val="24"/>
              </w:rPr>
            </w:pPr>
            <w:r>
              <w:rPr>
                <w:rFonts w:hint="eastAsia" w:ascii="宋体" w:hAnsi="宋体" w:eastAsia="宋体" w:cs="宋体"/>
                <w:sz w:val="24"/>
                <w:szCs w:val="24"/>
              </w:rPr>
              <w:t>注：1.本表反映单位本年度“三公”经费支出决算情况，包括当年一般公共预算财政拨款和以前年度结转资金安排的实际支出。</w:t>
            </w:r>
            <w:r>
              <w:rPr>
                <w:rFonts w:hint="eastAsia" w:ascii="宋体" w:hAnsi="宋体" w:eastAsia="宋体" w:cs="宋体"/>
                <w:sz w:val="24"/>
                <w:szCs w:val="24"/>
              </w:rPr>
              <w:br w:type="textWrapping"/>
            </w:r>
            <w:r>
              <w:rPr>
                <w:rFonts w:hint="eastAsia" w:ascii="宋体" w:hAnsi="宋体" w:eastAsia="宋体" w:cs="宋体"/>
                <w:sz w:val="24"/>
                <w:szCs w:val="24"/>
              </w:rPr>
              <w:t xml:space="preserve">    2.本单位2024年度没有使用一般公共预算财政拨款安排的“三公”经费支出。</w:t>
            </w:r>
          </w:p>
        </w:tc>
      </w:tr>
    </w:tbl>
    <w:p w14:paraId="6F7C26A8">
      <w:pPr>
        <w:pStyle w:val="14"/>
        <w:overflowPunct w:val="0"/>
        <w:rPr>
          <w:rFonts w:ascii="Times New Roman" w:hAnsi="Times New Roman" w:cs="Times New Roman" w:eastAsiaTheme="minorEastAsia"/>
        </w:rPr>
      </w:pPr>
    </w:p>
    <w:p w14:paraId="2D75306D">
      <w:pPr>
        <w:widowControl/>
        <w:overflowPunct w:val="0"/>
        <w:autoSpaceDE w:val="0"/>
        <w:autoSpaceDN w:val="0"/>
        <w:spacing w:line="240" w:lineRule="auto"/>
        <w:jc w:val="left"/>
        <w:rPr>
          <w:rFonts w:ascii="黑体" w:hAnsi="仿宋" w:eastAsia="黑体"/>
          <w:sz w:val="32"/>
          <w:szCs w:val="32"/>
        </w:rPr>
      </w:pPr>
      <w:r>
        <w:rPr>
          <w:rFonts w:ascii="黑体" w:hAnsi="仿宋" w:eastAsia="黑体"/>
          <w:sz w:val="32"/>
          <w:szCs w:val="32"/>
        </w:rPr>
        <w:br w:type="page"/>
      </w:r>
    </w:p>
    <w:p w14:paraId="72213F65">
      <w:pPr>
        <w:overflowPunct w:val="0"/>
        <w:autoSpaceDE w:val="0"/>
        <w:autoSpaceDN w:val="0"/>
        <w:jc w:val="left"/>
        <w:outlineLvl w:val="1"/>
        <w:rPr>
          <w:rFonts w:ascii="黑体" w:hAnsi="仿宋" w:eastAsia="黑体"/>
          <w:sz w:val="32"/>
          <w:szCs w:val="32"/>
        </w:rPr>
      </w:pPr>
      <w:bookmarkStart w:id="15" w:name="_Toc256000014"/>
      <w:r>
        <w:rPr>
          <w:rFonts w:hint="eastAsia" w:ascii="黑体" w:hAnsi="仿宋" w:eastAsia="黑体"/>
          <w:sz w:val="32"/>
          <w:szCs w:val="32"/>
        </w:rPr>
        <w:t>八、政府性基金预算财政拨款收入支出决算表</w:t>
      </w:r>
      <w:bookmarkEnd w:id="15"/>
    </w:p>
    <w:tbl>
      <w:tblPr>
        <w:tblStyle w:val="11"/>
        <w:tblW w:w="9168" w:type="dxa"/>
        <w:tblInd w:w="93" w:type="dxa"/>
        <w:tblLayout w:type="fixed"/>
        <w:tblCellMar>
          <w:top w:w="0" w:type="dxa"/>
          <w:left w:w="108" w:type="dxa"/>
          <w:bottom w:w="0" w:type="dxa"/>
          <w:right w:w="108" w:type="dxa"/>
        </w:tblCellMar>
      </w:tblPr>
      <w:tblGrid>
        <w:gridCol w:w="436"/>
        <w:gridCol w:w="34"/>
        <w:gridCol w:w="376"/>
        <w:gridCol w:w="94"/>
        <w:gridCol w:w="397"/>
        <w:gridCol w:w="1304"/>
        <w:gridCol w:w="1122"/>
        <w:gridCol w:w="1107"/>
        <w:gridCol w:w="1055"/>
        <w:gridCol w:w="1055"/>
        <w:gridCol w:w="1056"/>
        <w:gridCol w:w="1132"/>
      </w:tblGrid>
      <w:tr w14:paraId="5677C6B2">
        <w:tblPrEx>
          <w:tblCellMar>
            <w:top w:w="0" w:type="dxa"/>
            <w:left w:w="108" w:type="dxa"/>
            <w:bottom w:w="0" w:type="dxa"/>
            <w:right w:w="108" w:type="dxa"/>
          </w:tblCellMar>
        </w:tblPrEx>
        <w:trPr>
          <w:trHeight w:val="735" w:hRule="atLeast"/>
        </w:trPr>
        <w:tc>
          <w:tcPr>
            <w:tcW w:w="9168" w:type="dxa"/>
            <w:gridSpan w:val="12"/>
            <w:tcBorders>
              <w:top w:val="nil"/>
              <w:left w:val="nil"/>
              <w:bottom w:val="nil"/>
              <w:right w:val="nil"/>
            </w:tcBorders>
            <w:shd w:val="clear" w:color="auto" w:fill="auto"/>
            <w:vAlign w:val="center"/>
          </w:tcPr>
          <w:p w14:paraId="1464A7C6">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政府性基金预算财政拨款收入支出决算表</w:t>
            </w:r>
          </w:p>
        </w:tc>
      </w:tr>
      <w:tr w14:paraId="7DDF73C2">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vAlign w:val="bottom"/>
          </w:tcPr>
          <w:p w14:paraId="2ECD69EE">
            <w:pPr>
              <w:widowControl/>
              <w:overflowPunct w:val="0"/>
              <w:autoSpaceDE w:val="0"/>
              <w:autoSpaceDN w:val="0"/>
              <w:spacing w:line="240" w:lineRule="auto"/>
              <w:jc w:val="left"/>
              <w:rPr>
                <w:rFonts w:ascii="Arial" w:hAnsi="Arial" w:eastAsia="宋体" w:cs="Arial"/>
                <w:color w:val="000000"/>
                <w:kern w:val="0"/>
                <w:sz w:val="20"/>
                <w:szCs w:val="20"/>
              </w:rPr>
            </w:pPr>
          </w:p>
        </w:tc>
        <w:tc>
          <w:tcPr>
            <w:tcW w:w="410" w:type="dxa"/>
            <w:gridSpan w:val="2"/>
            <w:tcBorders>
              <w:top w:val="nil"/>
              <w:left w:val="nil"/>
              <w:bottom w:val="nil"/>
              <w:right w:val="nil"/>
            </w:tcBorders>
            <w:shd w:val="clear" w:color="auto" w:fill="auto"/>
            <w:vAlign w:val="bottom"/>
          </w:tcPr>
          <w:p w14:paraId="458A6DA3">
            <w:pPr>
              <w:widowControl/>
              <w:overflowPunct w:val="0"/>
              <w:autoSpaceDE w:val="0"/>
              <w:autoSpaceDN w:val="0"/>
              <w:spacing w:line="240" w:lineRule="auto"/>
              <w:jc w:val="left"/>
              <w:rPr>
                <w:rFonts w:ascii="Arial" w:hAnsi="Arial" w:eastAsia="宋体" w:cs="Arial"/>
                <w:color w:val="000000"/>
                <w:kern w:val="0"/>
                <w:sz w:val="20"/>
                <w:szCs w:val="20"/>
              </w:rPr>
            </w:pPr>
          </w:p>
        </w:tc>
        <w:tc>
          <w:tcPr>
            <w:tcW w:w="491" w:type="dxa"/>
            <w:gridSpan w:val="2"/>
            <w:tcBorders>
              <w:top w:val="nil"/>
              <w:left w:val="nil"/>
              <w:bottom w:val="nil"/>
              <w:right w:val="nil"/>
            </w:tcBorders>
            <w:shd w:val="clear" w:color="auto" w:fill="auto"/>
            <w:vAlign w:val="bottom"/>
          </w:tcPr>
          <w:p w14:paraId="46B88CF6">
            <w:pPr>
              <w:widowControl/>
              <w:overflowPunct w:val="0"/>
              <w:autoSpaceDE w:val="0"/>
              <w:autoSpaceDN w:val="0"/>
              <w:spacing w:line="240" w:lineRule="auto"/>
              <w:jc w:val="left"/>
              <w:rPr>
                <w:rFonts w:ascii="Arial" w:hAnsi="Arial" w:eastAsia="宋体" w:cs="Arial"/>
                <w:color w:val="000000"/>
                <w:kern w:val="0"/>
                <w:sz w:val="20"/>
                <w:szCs w:val="20"/>
              </w:rPr>
            </w:pPr>
          </w:p>
        </w:tc>
        <w:tc>
          <w:tcPr>
            <w:tcW w:w="1304" w:type="dxa"/>
            <w:tcBorders>
              <w:top w:val="nil"/>
              <w:left w:val="nil"/>
              <w:bottom w:val="nil"/>
              <w:right w:val="nil"/>
            </w:tcBorders>
            <w:shd w:val="clear" w:color="auto" w:fill="auto"/>
            <w:vAlign w:val="bottom"/>
          </w:tcPr>
          <w:p w14:paraId="2B60E31E">
            <w:pPr>
              <w:widowControl/>
              <w:overflowPunct w:val="0"/>
              <w:autoSpaceDE w:val="0"/>
              <w:autoSpaceDN w:val="0"/>
              <w:spacing w:line="240" w:lineRule="auto"/>
              <w:jc w:val="left"/>
              <w:rPr>
                <w:rFonts w:ascii="Arial" w:hAnsi="Arial" w:eastAsia="宋体" w:cs="Arial"/>
                <w:color w:val="000000"/>
                <w:kern w:val="0"/>
                <w:sz w:val="20"/>
                <w:szCs w:val="20"/>
              </w:rPr>
            </w:pPr>
          </w:p>
        </w:tc>
        <w:tc>
          <w:tcPr>
            <w:tcW w:w="1122" w:type="dxa"/>
            <w:tcBorders>
              <w:top w:val="nil"/>
              <w:left w:val="nil"/>
              <w:bottom w:val="nil"/>
              <w:right w:val="nil"/>
            </w:tcBorders>
            <w:shd w:val="clear" w:color="auto" w:fill="auto"/>
            <w:vAlign w:val="bottom"/>
          </w:tcPr>
          <w:p w14:paraId="2C3A4C96">
            <w:pPr>
              <w:widowControl/>
              <w:overflowPunct w:val="0"/>
              <w:autoSpaceDE w:val="0"/>
              <w:autoSpaceDN w:val="0"/>
              <w:spacing w:line="240" w:lineRule="auto"/>
              <w:jc w:val="left"/>
              <w:rPr>
                <w:rFonts w:ascii="Arial" w:hAnsi="Arial" w:eastAsia="宋体" w:cs="Arial"/>
                <w:color w:val="000000"/>
                <w:kern w:val="0"/>
                <w:sz w:val="20"/>
                <w:szCs w:val="20"/>
              </w:rPr>
            </w:pPr>
          </w:p>
        </w:tc>
        <w:tc>
          <w:tcPr>
            <w:tcW w:w="1107" w:type="dxa"/>
            <w:tcBorders>
              <w:top w:val="nil"/>
              <w:left w:val="nil"/>
              <w:bottom w:val="nil"/>
              <w:right w:val="nil"/>
            </w:tcBorders>
            <w:shd w:val="clear" w:color="auto" w:fill="auto"/>
            <w:vAlign w:val="bottom"/>
          </w:tcPr>
          <w:p w14:paraId="10B4FA0A">
            <w:pPr>
              <w:widowControl/>
              <w:overflowPunct w:val="0"/>
              <w:autoSpaceDE w:val="0"/>
              <w:autoSpaceDN w:val="0"/>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vAlign w:val="bottom"/>
          </w:tcPr>
          <w:p w14:paraId="24C230FD">
            <w:pPr>
              <w:widowControl/>
              <w:overflowPunct w:val="0"/>
              <w:autoSpaceDE w:val="0"/>
              <w:autoSpaceDN w:val="0"/>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vAlign w:val="bottom"/>
          </w:tcPr>
          <w:p w14:paraId="6A57B2D2">
            <w:pPr>
              <w:widowControl/>
              <w:overflowPunct w:val="0"/>
              <w:autoSpaceDE w:val="0"/>
              <w:autoSpaceDN w:val="0"/>
              <w:spacing w:line="240" w:lineRule="auto"/>
              <w:jc w:val="left"/>
              <w:rPr>
                <w:rFonts w:ascii="Arial" w:hAnsi="Arial" w:eastAsia="宋体" w:cs="Arial"/>
                <w:color w:val="000000"/>
                <w:kern w:val="0"/>
                <w:sz w:val="20"/>
                <w:szCs w:val="20"/>
              </w:rPr>
            </w:pPr>
          </w:p>
        </w:tc>
        <w:tc>
          <w:tcPr>
            <w:tcW w:w="1056" w:type="dxa"/>
            <w:tcBorders>
              <w:top w:val="nil"/>
              <w:left w:val="nil"/>
              <w:bottom w:val="nil"/>
              <w:right w:val="nil"/>
            </w:tcBorders>
            <w:shd w:val="clear" w:color="auto" w:fill="auto"/>
            <w:vAlign w:val="bottom"/>
          </w:tcPr>
          <w:p w14:paraId="37839CE5">
            <w:pPr>
              <w:widowControl/>
              <w:overflowPunct w:val="0"/>
              <w:autoSpaceDE w:val="0"/>
              <w:autoSpaceDN w:val="0"/>
              <w:spacing w:line="240" w:lineRule="auto"/>
              <w:jc w:val="left"/>
              <w:rPr>
                <w:rFonts w:ascii="Arial" w:hAnsi="Arial" w:eastAsia="宋体" w:cs="Arial"/>
                <w:color w:val="000000"/>
                <w:kern w:val="0"/>
                <w:sz w:val="20"/>
                <w:szCs w:val="20"/>
              </w:rPr>
            </w:pPr>
          </w:p>
        </w:tc>
        <w:tc>
          <w:tcPr>
            <w:tcW w:w="1132" w:type="dxa"/>
            <w:tcBorders>
              <w:top w:val="nil"/>
              <w:left w:val="nil"/>
              <w:bottom w:val="nil"/>
              <w:right w:val="nil"/>
            </w:tcBorders>
            <w:shd w:val="clear" w:color="auto" w:fill="auto"/>
            <w:vAlign w:val="bottom"/>
          </w:tcPr>
          <w:p w14:paraId="15E6FB4F">
            <w:pPr>
              <w:widowControl/>
              <w:overflowPunct w:val="0"/>
              <w:autoSpaceDE w:val="0"/>
              <w:autoSpaceDN w:val="0"/>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14:paraId="75B3471B">
        <w:tblPrEx>
          <w:tblCellMar>
            <w:top w:w="0" w:type="dxa"/>
            <w:left w:w="108" w:type="dxa"/>
            <w:bottom w:w="0" w:type="dxa"/>
            <w:right w:w="108" w:type="dxa"/>
          </w:tblCellMar>
        </w:tblPrEx>
        <w:trPr>
          <w:trHeight w:val="315" w:hRule="atLeast"/>
        </w:trPr>
        <w:tc>
          <w:tcPr>
            <w:tcW w:w="5925" w:type="dxa"/>
            <w:gridSpan w:val="9"/>
            <w:tcBorders>
              <w:top w:val="nil"/>
              <w:left w:val="nil"/>
              <w:bottom w:val="nil"/>
              <w:right w:val="nil"/>
            </w:tcBorders>
            <w:shd w:val="clear" w:color="auto" w:fill="auto"/>
            <w:vAlign w:val="bottom"/>
          </w:tcPr>
          <w:p w14:paraId="7A07D407">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单位：福州市台江区保密技术检查中心</w:t>
            </w:r>
          </w:p>
        </w:tc>
        <w:tc>
          <w:tcPr>
            <w:tcW w:w="1055" w:type="dxa"/>
            <w:tcBorders>
              <w:top w:val="nil"/>
              <w:left w:val="nil"/>
              <w:bottom w:val="nil"/>
              <w:right w:val="nil"/>
            </w:tcBorders>
            <w:shd w:val="clear" w:color="auto" w:fill="auto"/>
            <w:vAlign w:val="bottom"/>
          </w:tcPr>
          <w:p w14:paraId="532F04F6">
            <w:pPr>
              <w:widowControl/>
              <w:overflowPunct w:val="0"/>
              <w:autoSpaceDE w:val="0"/>
              <w:autoSpaceDN w:val="0"/>
              <w:spacing w:line="240" w:lineRule="auto"/>
              <w:jc w:val="left"/>
              <w:rPr>
                <w:rFonts w:ascii="Arial" w:hAnsi="Arial" w:eastAsia="宋体" w:cs="Arial"/>
                <w:color w:val="000000"/>
                <w:kern w:val="0"/>
                <w:sz w:val="20"/>
                <w:szCs w:val="20"/>
              </w:rPr>
            </w:pPr>
          </w:p>
        </w:tc>
        <w:tc>
          <w:tcPr>
            <w:tcW w:w="2188" w:type="dxa"/>
            <w:gridSpan w:val="2"/>
            <w:tcBorders>
              <w:top w:val="nil"/>
              <w:left w:val="nil"/>
              <w:bottom w:val="nil"/>
              <w:right w:val="nil"/>
            </w:tcBorders>
            <w:shd w:val="clear" w:color="auto" w:fill="auto"/>
            <w:vAlign w:val="bottom"/>
          </w:tcPr>
          <w:p w14:paraId="69F6B97A">
            <w:pPr>
              <w:widowControl/>
              <w:overflowPunct w:val="0"/>
              <w:autoSpaceDE w:val="0"/>
              <w:autoSpaceDN w:val="0"/>
              <w:spacing w:line="240" w:lineRule="auto"/>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单位：万元</w:t>
            </w:r>
          </w:p>
        </w:tc>
      </w:tr>
      <w:tr w14:paraId="06E725B8">
        <w:tblPrEx>
          <w:tblCellMar>
            <w:top w:w="0" w:type="dxa"/>
            <w:left w:w="108" w:type="dxa"/>
            <w:bottom w:w="0" w:type="dxa"/>
            <w:right w:w="108" w:type="dxa"/>
          </w:tblCellMar>
        </w:tblPrEx>
        <w:trPr>
          <w:trHeight w:val="308" w:hRule="atLeast"/>
        </w:trPr>
        <w:tc>
          <w:tcPr>
            <w:tcW w:w="2641"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14:paraId="06E3E0F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38AE84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年初结转和结余</w:t>
            </w:r>
          </w:p>
        </w:tc>
        <w:tc>
          <w:tcPr>
            <w:tcW w:w="11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C040B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本年收入</w:t>
            </w:r>
          </w:p>
        </w:tc>
        <w:tc>
          <w:tcPr>
            <w:tcW w:w="3166" w:type="dxa"/>
            <w:gridSpan w:val="3"/>
            <w:tcBorders>
              <w:top w:val="single" w:color="000000" w:sz="8" w:space="0"/>
              <w:left w:val="nil"/>
              <w:bottom w:val="single" w:color="000000" w:sz="4" w:space="0"/>
              <w:right w:val="single" w:color="000000" w:sz="4" w:space="0"/>
            </w:tcBorders>
            <w:shd w:val="clear" w:color="auto" w:fill="auto"/>
            <w:vAlign w:val="center"/>
          </w:tcPr>
          <w:p w14:paraId="70D096A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本年支出</w:t>
            </w:r>
          </w:p>
        </w:tc>
        <w:tc>
          <w:tcPr>
            <w:tcW w:w="113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B5B17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年末结转和结余</w:t>
            </w:r>
          </w:p>
        </w:tc>
      </w:tr>
      <w:tr w14:paraId="691C54C2">
        <w:tblPrEx>
          <w:tblCellMar>
            <w:top w:w="0" w:type="dxa"/>
            <w:left w:w="108" w:type="dxa"/>
            <w:bottom w:w="0" w:type="dxa"/>
            <w:right w:w="108" w:type="dxa"/>
          </w:tblCellMar>
        </w:tblPrEx>
        <w:trPr>
          <w:trHeight w:val="312" w:hRule="atLeast"/>
        </w:trPr>
        <w:tc>
          <w:tcPr>
            <w:tcW w:w="1337"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C854E7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1304" w:type="dxa"/>
            <w:vMerge w:val="restart"/>
            <w:tcBorders>
              <w:top w:val="nil"/>
              <w:left w:val="nil"/>
              <w:bottom w:val="single" w:color="000000" w:sz="4" w:space="0"/>
              <w:right w:val="single" w:color="000000" w:sz="4" w:space="0"/>
            </w:tcBorders>
            <w:shd w:val="clear" w:color="auto" w:fill="auto"/>
            <w:vAlign w:val="center"/>
          </w:tcPr>
          <w:p w14:paraId="508E9AF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122" w:type="dxa"/>
            <w:vMerge w:val="continue"/>
            <w:tcBorders>
              <w:top w:val="single" w:color="000000" w:sz="8" w:space="0"/>
              <w:left w:val="single" w:color="000000" w:sz="4" w:space="0"/>
              <w:bottom w:val="single" w:color="000000" w:sz="4" w:space="0"/>
              <w:right w:val="single" w:color="000000" w:sz="4" w:space="0"/>
            </w:tcBorders>
            <w:vAlign w:val="center"/>
          </w:tcPr>
          <w:p w14:paraId="5FC29F0D">
            <w:pPr>
              <w:widowControl/>
              <w:overflowPunct w:val="0"/>
              <w:autoSpaceDE w:val="0"/>
              <w:autoSpaceDN w:val="0"/>
              <w:spacing w:line="240" w:lineRule="auto"/>
              <w:jc w:val="left"/>
              <w:rPr>
                <w:rFonts w:ascii="宋体" w:hAnsi="宋体" w:eastAsia="宋体" w:cs="Arial"/>
                <w:color w:val="000000"/>
                <w:kern w:val="0"/>
                <w:szCs w:val="21"/>
              </w:rPr>
            </w:pPr>
          </w:p>
        </w:tc>
        <w:tc>
          <w:tcPr>
            <w:tcW w:w="1107" w:type="dxa"/>
            <w:vMerge w:val="continue"/>
            <w:tcBorders>
              <w:top w:val="single" w:color="000000" w:sz="8" w:space="0"/>
              <w:left w:val="single" w:color="000000" w:sz="4" w:space="0"/>
              <w:bottom w:val="single" w:color="000000" w:sz="4" w:space="0"/>
              <w:right w:val="single" w:color="000000" w:sz="4" w:space="0"/>
            </w:tcBorders>
            <w:vAlign w:val="center"/>
          </w:tcPr>
          <w:p w14:paraId="18C56F18">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restart"/>
            <w:tcBorders>
              <w:top w:val="nil"/>
              <w:left w:val="nil"/>
              <w:bottom w:val="single" w:color="000000" w:sz="4" w:space="0"/>
              <w:right w:val="single" w:color="000000" w:sz="4" w:space="0"/>
            </w:tcBorders>
            <w:shd w:val="clear" w:color="auto" w:fill="auto"/>
            <w:vAlign w:val="center"/>
          </w:tcPr>
          <w:p w14:paraId="37F68BA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小计</w:t>
            </w:r>
          </w:p>
        </w:tc>
        <w:tc>
          <w:tcPr>
            <w:tcW w:w="1055" w:type="dxa"/>
            <w:vMerge w:val="restart"/>
            <w:tcBorders>
              <w:top w:val="nil"/>
              <w:left w:val="single" w:color="000000" w:sz="4" w:space="0"/>
              <w:bottom w:val="nil"/>
              <w:right w:val="single" w:color="000000" w:sz="4" w:space="0"/>
            </w:tcBorders>
            <w:shd w:val="clear" w:color="auto" w:fill="auto"/>
            <w:vAlign w:val="center"/>
          </w:tcPr>
          <w:p w14:paraId="4AFB4E6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056" w:type="dxa"/>
            <w:vMerge w:val="restart"/>
            <w:tcBorders>
              <w:top w:val="nil"/>
              <w:left w:val="nil"/>
              <w:bottom w:val="single" w:color="000000" w:sz="4" w:space="0"/>
              <w:right w:val="single" w:color="000000" w:sz="4" w:space="0"/>
            </w:tcBorders>
            <w:shd w:val="clear" w:color="auto" w:fill="auto"/>
            <w:vAlign w:val="center"/>
          </w:tcPr>
          <w:p w14:paraId="510300A6">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c>
          <w:tcPr>
            <w:tcW w:w="1132" w:type="dxa"/>
            <w:vMerge w:val="continue"/>
            <w:tcBorders>
              <w:top w:val="single" w:color="000000" w:sz="8" w:space="0"/>
              <w:left w:val="single" w:color="000000" w:sz="4" w:space="0"/>
              <w:bottom w:val="single" w:color="000000" w:sz="4" w:space="0"/>
              <w:right w:val="single" w:color="000000" w:sz="4" w:space="0"/>
            </w:tcBorders>
            <w:vAlign w:val="center"/>
          </w:tcPr>
          <w:p w14:paraId="2AA4FFC5">
            <w:pPr>
              <w:widowControl/>
              <w:overflowPunct w:val="0"/>
              <w:autoSpaceDE w:val="0"/>
              <w:autoSpaceDN w:val="0"/>
              <w:spacing w:line="240" w:lineRule="auto"/>
              <w:jc w:val="left"/>
              <w:rPr>
                <w:rFonts w:ascii="宋体" w:hAnsi="宋体" w:eastAsia="宋体" w:cs="Arial"/>
                <w:color w:val="000000"/>
                <w:kern w:val="0"/>
                <w:szCs w:val="21"/>
              </w:rPr>
            </w:pPr>
          </w:p>
        </w:tc>
      </w:tr>
      <w:tr w14:paraId="5CDECCB2">
        <w:tblPrEx>
          <w:tblCellMar>
            <w:top w:w="0" w:type="dxa"/>
            <w:left w:w="108" w:type="dxa"/>
            <w:bottom w:w="0" w:type="dxa"/>
            <w:right w:w="108" w:type="dxa"/>
          </w:tblCellMar>
        </w:tblPrEx>
        <w:trPr>
          <w:trHeight w:val="312" w:hRule="atLeast"/>
        </w:trPr>
        <w:tc>
          <w:tcPr>
            <w:tcW w:w="1337" w:type="dxa"/>
            <w:gridSpan w:val="5"/>
            <w:vMerge w:val="continue"/>
            <w:tcBorders>
              <w:top w:val="single" w:color="000000" w:sz="4" w:space="0"/>
              <w:left w:val="single" w:color="000000" w:sz="8" w:space="0"/>
              <w:bottom w:val="single" w:color="auto" w:sz="4" w:space="0"/>
              <w:right w:val="single" w:color="000000" w:sz="4" w:space="0"/>
            </w:tcBorders>
            <w:vAlign w:val="center"/>
          </w:tcPr>
          <w:p w14:paraId="0F785EB4">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vMerge w:val="continue"/>
            <w:tcBorders>
              <w:top w:val="nil"/>
              <w:left w:val="nil"/>
              <w:bottom w:val="single" w:color="auto" w:sz="4" w:space="0"/>
              <w:right w:val="single" w:color="000000" w:sz="4" w:space="0"/>
            </w:tcBorders>
            <w:vAlign w:val="center"/>
          </w:tcPr>
          <w:p w14:paraId="7DE7FCB0">
            <w:pPr>
              <w:widowControl/>
              <w:overflowPunct w:val="0"/>
              <w:autoSpaceDE w:val="0"/>
              <w:autoSpaceDN w:val="0"/>
              <w:spacing w:line="240" w:lineRule="auto"/>
              <w:jc w:val="left"/>
              <w:rPr>
                <w:rFonts w:ascii="宋体" w:hAnsi="宋体" w:eastAsia="宋体" w:cs="Arial"/>
                <w:color w:val="000000"/>
                <w:kern w:val="0"/>
                <w:szCs w:val="21"/>
              </w:rPr>
            </w:pPr>
          </w:p>
        </w:tc>
        <w:tc>
          <w:tcPr>
            <w:tcW w:w="1122" w:type="dxa"/>
            <w:vMerge w:val="continue"/>
            <w:tcBorders>
              <w:top w:val="single" w:color="000000" w:sz="8" w:space="0"/>
              <w:left w:val="single" w:color="000000" w:sz="4" w:space="0"/>
              <w:bottom w:val="single" w:color="auto" w:sz="4" w:space="0"/>
              <w:right w:val="single" w:color="000000" w:sz="4" w:space="0"/>
            </w:tcBorders>
            <w:vAlign w:val="center"/>
          </w:tcPr>
          <w:p w14:paraId="4FABD01B">
            <w:pPr>
              <w:widowControl/>
              <w:overflowPunct w:val="0"/>
              <w:autoSpaceDE w:val="0"/>
              <w:autoSpaceDN w:val="0"/>
              <w:spacing w:line="240" w:lineRule="auto"/>
              <w:jc w:val="left"/>
              <w:rPr>
                <w:rFonts w:ascii="宋体" w:hAnsi="宋体" w:eastAsia="宋体" w:cs="Arial"/>
                <w:color w:val="000000"/>
                <w:kern w:val="0"/>
                <w:szCs w:val="21"/>
              </w:rPr>
            </w:pPr>
          </w:p>
        </w:tc>
        <w:tc>
          <w:tcPr>
            <w:tcW w:w="1107" w:type="dxa"/>
            <w:vMerge w:val="continue"/>
            <w:tcBorders>
              <w:top w:val="single" w:color="000000" w:sz="8" w:space="0"/>
              <w:left w:val="single" w:color="000000" w:sz="4" w:space="0"/>
              <w:bottom w:val="single" w:color="auto" w:sz="4" w:space="0"/>
              <w:right w:val="single" w:color="000000" w:sz="4" w:space="0"/>
            </w:tcBorders>
            <w:vAlign w:val="center"/>
          </w:tcPr>
          <w:p w14:paraId="3B7C6598">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continue"/>
            <w:tcBorders>
              <w:top w:val="nil"/>
              <w:left w:val="nil"/>
              <w:bottom w:val="single" w:color="auto" w:sz="4" w:space="0"/>
              <w:right w:val="single" w:color="000000" w:sz="4" w:space="0"/>
            </w:tcBorders>
            <w:vAlign w:val="center"/>
          </w:tcPr>
          <w:p w14:paraId="1406C679">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continue"/>
            <w:tcBorders>
              <w:top w:val="nil"/>
              <w:left w:val="single" w:color="000000" w:sz="4" w:space="0"/>
              <w:bottom w:val="single" w:color="auto" w:sz="4" w:space="0"/>
              <w:right w:val="single" w:color="000000" w:sz="4" w:space="0"/>
            </w:tcBorders>
            <w:vAlign w:val="center"/>
          </w:tcPr>
          <w:p w14:paraId="3FE9DABC">
            <w:pPr>
              <w:widowControl/>
              <w:overflowPunct w:val="0"/>
              <w:autoSpaceDE w:val="0"/>
              <w:autoSpaceDN w:val="0"/>
              <w:spacing w:line="240" w:lineRule="auto"/>
              <w:jc w:val="left"/>
              <w:rPr>
                <w:rFonts w:ascii="宋体" w:hAnsi="宋体" w:eastAsia="宋体" w:cs="Arial"/>
                <w:color w:val="000000"/>
                <w:kern w:val="0"/>
                <w:szCs w:val="21"/>
              </w:rPr>
            </w:pPr>
          </w:p>
        </w:tc>
        <w:tc>
          <w:tcPr>
            <w:tcW w:w="1056" w:type="dxa"/>
            <w:vMerge w:val="continue"/>
            <w:tcBorders>
              <w:top w:val="nil"/>
              <w:left w:val="nil"/>
              <w:bottom w:val="single" w:color="auto" w:sz="4" w:space="0"/>
              <w:right w:val="single" w:color="000000" w:sz="4" w:space="0"/>
            </w:tcBorders>
            <w:vAlign w:val="center"/>
          </w:tcPr>
          <w:p w14:paraId="5E6AB656">
            <w:pPr>
              <w:widowControl/>
              <w:overflowPunct w:val="0"/>
              <w:autoSpaceDE w:val="0"/>
              <w:autoSpaceDN w:val="0"/>
              <w:spacing w:line="240" w:lineRule="auto"/>
              <w:jc w:val="left"/>
              <w:rPr>
                <w:rFonts w:ascii="宋体" w:hAnsi="宋体" w:eastAsia="宋体" w:cs="Arial"/>
                <w:color w:val="000000"/>
                <w:kern w:val="0"/>
                <w:szCs w:val="21"/>
              </w:rPr>
            </w:pPr>
          </w:p>
        </w:tc>
        <w:tc>
          <w:tcPr>
            <w:tcW w:w="1132" w:type="dxa"/>
            <w:vMerge w:val="continue"/>
            <w:tcBorders>
              <w:top w:val="single" w:color="000000" w:sz="8" w:space="0"/>
              <w:left w:val="single" w:color="000000" w:sz="4" w:space="0"/>
              <w:bottom w:val="single" w:color="auto" w:sz="4" w:space="0"/>
              <w:right w:val="single" w:color="000000" w:sz="4" w:space="0"/>
            </w:tcBorders>
            <w:vAlign w:val="center"/>
          </w:tcPr>
          <w:p w14:paraId="1D1B3128">
            <w:pPr>
              <w:widowControl/>
              <w:overflowPunct w:val="0"/>
              <w:autoSpaceDE w:val="0"/>
              <w:autoSpaceDN w:val="0"/>
              <w:spacing w:line="240" w:lineRule="auto"/>
              <w:jc w:val="left"/>
              <w:rPr>
                <w:rFonts w:ascii="宋体" w:hAnsi="宋体" w:eastAsia="宋体" w:cs="Arial"/>
                <w:color w:val="000000"/>
                <w:kern w:val="0"/>
                <w:szCs w:val="21"/>
              </w:rPr>
            </w:pPr>
          </w:p>
        </w:tc>
      </w:tr>
      <w:tr w14:paraId="3E609632">
        <w:tblPrEx>
          <w:tblCellMar>
            <w:top w:w="0" w:type="dxa"/>
            <w:left w:w="108" w:type="dxa"/>
            <w:bottom w:w="0" w:type="dxa"/>
            <w:right w:w="108" w:type="dxa"/>
          </w:tblCellMar>
        </w:tblPrEx>
        <w:trPr>
          <w:trHeight w:val="308" w:hRule="atLeast"/>
        </w:trPr>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66718">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9884A7">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AD5EAA">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A3DDD2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栏次</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8F7827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328036D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9C376D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7</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7EDFDC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8</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C94A16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051DC7A">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12</w:t>
            </w:r>
          </w:p>
        </w:tc>
      </w:tr>
      <w:tr w14:paraId="1F039A16">
        <w:tblPrEx>
          <w:tblCellMar>
            <w:top w:w="0" w:type="dxa"/>
            <w:left w:w="108" w:type="dxa"/>
            <w:bottom w:w="0" w:type="dxa"/>
            <w:right w:w="108" w:type="dxa"/>
          </w:tblCellMar>
        </w:tblPrEx>
        <w:trPr>
          <w:trHeight w:val="308" w:hRule="atLeast"/>
        </w:trPr>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14:paraId="45EBACD9">
            <w:pPr>
              <w:widowControl/>
              <w:overflowPunct w:val="0"/>
              <w:autoSpaceDE w:val="0"/>
              <w:autoSpaceDN w:val="0"/>
              <w:spacing w:line="240" w:lineRule="auto"/>
              <w:jc w:val="left"/>
              <w:rPr>
                <w:rFonts w:ascii="宋体" w:hAnsi="宋体" w:eastAsia="宋体" w:cs="Arial"/>
                <w:color w:val="000000"/>
                <w:kern w:val="0"/>
                <w:szCs w:val="21"/>
              </w:rPr>
            </w:pPr>
          </w:p>
        </w:tc>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14:paraId="264D5337">
            <w:pPr>
              <w:widowControl/>
              <w:overflowPunct w:val="0"/>
              <w:autoSpaceDE w:val="0"/>
              <w:autoSpaceDN w:val="0"/>
              <w:spacing w:line="240" w:lineRule="auto"/>
              <w:jc w:val="left"/>
              <w:rPr>
                <w:rFonts w:ascii="宋体" w:hAnsi="宋体" w:eastAsia="宋体" w:cs="Arial"/>
                <w:color w:val="000000"/>
                <w:kern w:val="0"/>
                <w:szCs w:val="21"/>
              </w:rPr>
            </w:pPr>
          </w:p>
        </w:tc>
        <w:tc>
          <w:tcPr>
            <w:tcW w:w="397" w:type="dxa"/>
            <w:vMerge w:val="continue"/>
            <w:tcBorders>
              <w:top w:val="single" w:color="auto" w:sz="4" w:space="0"/>
              <w:left w:val="single" w:color="auto" w:sz="4" w:space="0"/>
              <w:bottom w:val="single" w:color="auto" w:sz="4" w:space="0"/>
              <w:right w:val="single" w:color="auto" w:sz="4" w:space="0"/>
            </w:tcBorders>
            <w:vAlign w:val="center"/>
          </w:tcPr>
          <w:p w14:paraId="721C92AF">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582D7613">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7CECA4C">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2F30CF17">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C53BD3D">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F4F781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32E4828">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AB6BCDB">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14:paraId="3A43D32E">
        <w:tblPrEx>
          <w:tblCellMar>
            <w:top w:w="0" w:type="dxa"/>
            <w:left w:w="108" w:type="dxa"/>
            <w:bottom w:w="0" w:type="dxa"/>
            <w:right w:w="108" w:type="dxa"/>
          </w:tblCellMar>
        </w:tblPrEx>
        <w:trPr>
          <w:trHeight w:val="308" w:hRule="atLeast"/>
        </w:trPr>
        <w:tc>
          <w:tcPr>
            <w:tcW w:w="1337" w:type="dxa"/>
            <w:gridSpan w:val="5"/>
            <w:tcBorders>
              <w:top w:val="single" w:color="auto" w:sz="4" w:space="0"/>
              <w:left w:val="single" w:color="auto" w:sz="4" w:space="0"/>
              <w:bottom w:val="single" w:color="auto" w:sz="4" w:space="0"/>
              <w:right w:val="single" w:color="auto" w:sz="4" w:space="0"/>
            </w:tcBorders>
            <w:vAlign w:val="center"/>
          </w:tcPr>
          <w:p w14:paraId="2BCDAD8E">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254851AC">
            <w:pPr>
              <w:widowControl/>
              <w:overflowPunct w:val="0"/>
              <w:autoSpaceDE w:val="0"/>
              <w:autoSpaceDN w:val="0"/>
              <w:spacing w:line="240" w:lineRule="auto"/>
              <w:jc w:val="center"/>
              <w:rPr>
                <w:rFonts w:ascii="宋体" w:hAnsi="宋体" w:eastAsia="宋体" w:cs="Arial"/>
                <w:color w:val="000000"/>
                <w:kern w:val="0"/>
                <w:szCs w:val="21"/>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B6F58A9">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0DDC08C1">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79D6B9E">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53B6C12">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9313680">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5D08BE4">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r>
    </w:tbl>
    <w:p w14:paraId="390E2A97">
      <w:pPr>
        <w:overflowPunct w:val="0"/>
        <w:autoSpaceDE w:val="0"/>
        <w:autoSpaceDN w:val="0"/>
        <w:rPr>
          <w:rFonts w:ascii="Times New Roman" w:hAnsi="Times New Roman" w:cs="Times New Roman"/>
          <w:color w:val="000000"/>
          <w:kern w:val="0"/>
          <w:sz w:val="24"/>
          <w:szCs w:val="24"/>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注：1.本表反映单位本年度政府性基金预算财政拨款收入、支出及结转和结余情况。</w:t>
      </w:r>
      <w:r>
        <w:rPr>
          <w:rFonts w:hint="eastAsia" w:ascii="宋体" w:hAnsi="宋体" w:eastAsia="宋体" w:cs="宋体"/>
          <w:sz w:val="24"/>
          <w:szCs w:val="24"/>
        </w:rPr>
        <w:cr/>
      </w:r>
      <w:r>
        <w:rPr>
          <w:rFonts w:hint="eastAsia" w:ascii="宋体" w:hAnsi="宋体" w:eastAsia="宋体" w:cs="宋体"/>
          <w:sz w:val="24"/>
          <w:szCs w:val="24"/>
        </w:rPr>
        <w:t xml:space="preserve">    2.本单位2024年度没有使用政府性基金预算拨款安排的收支。</w:t>
      </w:r>
      <w:r>
        <w:br w:type="page"/>
      </w:r>
    </w:p>
    <w:p w14:paraId="3AD5025B">
      <w:pPr>
        <w:overflowPunct w:val="0"/>
        <w:autoSpaceDE w:val="0"/>
        <w:autoSpaceDN w:val="0"/>
        <w:jc w:val="left"/>
        <w:outlineLvl w:val="1"/>
        <w:rPr>
          <w:rFonts w:ascii="Times New Roman" w:hAnsi="Times New Roman" w:cs="Times New Roman"/>
        </w:rPr>
      </w:pPr>
      <w:bookmarkStart w:id="16" w:name="_Toc256000015"/>
      <w:r>
        <w:rPr>
          <w:rFonts w:hint="eastAsia" w:ascii="黑体" w:hAnsi="仿宋" w:eastAsia="黑体"/>
          <w:sz w:val="32"/>
          <w:szCs w:val="32"/>
        </w:rPr>
        <w:t>九、国有资本经营预算财政拨款支出决算表</w:t>
      </w:r>
      <w:bookmarkEnd w:id="16"/>
    </w:p>
    <w:tbl>
      <w:tblPr>
        <w:tblStyle w:val="11"/>
        <w:tblW w:w="8522" w:type="dxa"/>
        <w:jc w:val="center"/>
        <w:tblLayout w:type="fixed"/>
        <w:tblCellMar>
          <w:top w:w="0" w:type="dxa"/>
          <w:left w:w="108" w:type="dxa"/>
          <w:bottom w:w="0" w:type="dxa"/>
          <w:right w:w="108" w:type="dxa"/>
        </w:tblCellMar>
      </w:tblPr>
      <w:tblGrid>
        <w:gridCol w:w="670"/>
        <w:gridCol w:w="577"/>
        <w:gridCol w:w="2355"/>
        <w:gridCol w:w="620"/>
        <w:gridCol w:w="1020"/>
        <w:gridCol w:w="1370"/>
        <w:gridCol w:w="270"/>
        <w:gridCol w:w="1640"/>
      </w:tblGrid>
      <w:tr w14:paraId="511FA75E">
        <w:tblPrEx>
          <w:tblCellMar>
            <w:top w:w="0" w:type="dxa"/>
            <w:left w:w="108" w:type="dxa"/>
            <w:bottom w:w="0" w:type="dxa"/>
            <w:right w:w="108" w:type="dxa"/>
          </w:tblCellMar>
        </w:tblPrEx>
        <w:trPr>
          <w:trHeight w:val="720" w:hRule="atLeast"/>
          <w:jc w:val="center"/>
        </w:trPr>
        <w:tc>
          <w:tcPr>
            <w:tcW w:w="8522" w:type="dxa"/>
            <w:gridSpan w:val="8"/>
            <w:tcBorders>
              <w:top w:val="nil"/>
              <w:left w:val="nil"/>
              <w:bottom w:val="nil"/>
              <w:right w:val="nil"/>
            </w:tcBorders>
            <w:shd w:val="clear" w:color="000000" w:fill="FFFFFF"/>
            <w:vAlign w:val="center"/>
          </w:tcPr>
          <w:p w14:paraId="4A35FC65">
            <w:pPr>
              <w:widowControl/>
              <w:overflowPunct w:val="0"/>
              <w:autoSpaceDE w:val="0"/>
              <w:autoSpaceDN w:val="0"/>
              <w:spacing w:line="240" w:lineRule="auto"/>
              <w:jc w:val="center"/>
              <w:rPr>
                <w:rFonts w:ascii="黑体" w:hAnsi="黑体" w:eastAsia="黑体" w:cs="宋体"/>
                <w:kern w:val="0"/>
                <w:sz w:val="36"/>
                <w:szCs w:val="36"/>
              </w:rPr>
            </w:pPr>
            <w:r>
              <w:rPr>
                <w:rFonts w:hint="eastAsia" w:ascii="黑体" w:hAnsi="黑体" w:eastAsia="黑体" w:cs="宋体"/>
                <w:kern w:val="0"/>
                <w:sz w:val="36"/>
                <w:szCs w:val="36"/>
              </w:rPr>
              <w:t>国有资本经营预算财政拨款支出决算表</w:t>
            </w:r>
          </w:p>
        </w:tc>
      </w:tr>
      <w:tr w14:paraId="35D2FF2C">
        <w:tblPrEx>
          <w:tblCellMar>
            <w:top w:w="0" w:type="dxa"/>
            <w:left w:w="108" w:type="dxa"/>
            <w:bottom w:w="0" w:type="dxa"/>
            <w:right w:w="108" w:type="dxa"/>
          </w:tblCellMar>
        </w:tblPrEx>
        <w:trPr>
          <w:trHeight w:val="285" w:hRule="atLeast"/>
          <w:jc w:val="center"/>
        </w:trPr>
        <w:tc>
          <w:tcPr>
            <w:tcW w:w="670" w:type="dxa"/>
            <w:tcBorders>
              <w:top w:val="nil"/>
              <w:left w:val="nil"/>
              <w:bottom w:val="nil"/>
              <w:right w:val="nil"/>
            </w:tcBorders>
            <w:shd w:val="clear" w:color="000000" w:fill="FFFFFF"/>
            <w:vAlign w:val="center"/>
          </w:tcPr>
          <w:p w14:paraId="19A33DC7">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77" w:type="dxa"/>
            <w:tcBorders>
              <w:top w:val="nil"/>
              <w:left w:val="nil"/>
              <w:bottom w:val="nil"/>
              <w:right w:val="nil"/>
            </w:tcBorders>
            <w:shd w:val="clear" w:color="000000" w:fill="FFFFFF"/>
            <w:vAlign w:val="center"/>
          </w:tcPr>
          <w:p w14:paraId="7F59DD9D">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55" w:type="dxa"/>
            <w:tcBorders>
              <w:top w:val="nil"/>
              <w:left w:val="nil"/>
              <w:bottom w:val="nil"/>
              <w:right w:val="nil"/>
            </w:tcBorders>
            <w:shd w:val="clear" w:color="000000" w:fill="FFFFFF"/>
            <w:vAlign w:val="center"/>
          </w:tcPr>
          <w:p w14:paraId="63EC0674">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20" w:type="dxa"/>
            <w:tcBorders>
              <w:top w:val="nil"/>
              <w:left w:val="nil"/>
              <w:bottom w:val="nil"/>
              <w:right w:val="nil"/>
            </w:tcBorders>
            <w:shd w:val="clear" w:color="000000" w:fill="FFFFFF"/>
            <w:vAlign w:val="center"/>
          </w:tcPr>
          <w:p w14:paraId="4B1EBA32">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390" w:type="dxa"/>
            <w:gridSpan w:val="2"/>
            <w:tcBorders>
              <w:top w:val="nil"/>
              <w:left w:val="nil"/>
              <w:bottom w:val="nil"/>
              <w:right w:val="nil"/>
            </w:tcBorders>
            <w:shd w:val="clear" w:color="000000" w:fill="FFFFFF"/>
            <w:vAlign w:val="center"/>
          </w:tcPr>
          <w:p w14:paraId="71C91CBA">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10" w:type="dxa"/>
            <w:gridSpan w:val="2"/>
            <w:tcBorders>
              <w:top w:val="nil"/>
              <w:left w:val="nil"/>
              <w:bottom w:val="nil"/>
              <w:right w:val="nil"/>
            </w:tcBorders>
            <w:shd w:val="clear" w:color="000000" w:fill="FFFFFF"/>
            <w:vAlign w:val="center"/>
          </w:tcPr>
          <w:p w14:paraId="0C542B4D">
            <w:pPr>
              <w:widowControl/>
              <w:overflowPunct w:val="0"/>
              <w:autoSpaceDE w:val="0"/>
              <w:autoSpaceDN w:val="0"/>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647F3473">
        <w:tblPrEx>
          <w:tblCellMar>
            <w:top w:w="0" w:type="dxa"/>
            <w:left w:w="108" w:type="dxa"/>
            <w:bottom w:w="0" w:type="dxa"/>
            <w:right w:w="108" w:type="dxa"/>
          </w:tblCellMar>
        </w:tblPrEx>
        <w:trPr>
          <w:trHeight w:val="285" w:hRule="atLeast"/>
          <w:jc w:val="center"/>
        </w:trPr>
        <w:tc>
          <w:tcPr>
            <w:tcW w:w="6612" w:type="dxa"/>
            <w:gridSpan w:val="6"/>
            <w:tcBorders>
              <w:top w:val="nil"/>
              <w:left w:val="nil"/>
              <w:bottom w:val="nil"/>
              <w:right w:val="nil"/>
            </w:tcBorders>
            <w:shd w:val="clear" w:color="000000" w:fill="FFFFFF"/>
            <w:vAlign w:val="center"/>
          </w:tcPr>
          <w:p w14:paraId="192DD442">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Arial"/>
                <w:color w:val="000000"/>
                <w:kern w:val="0"/>
                <w:sz w:val="22"/>
              </w:rPr>
              <w:t>单位：福州市台江区保密技术检查中心</w:t>
            </w:r>
          </w:p>
        </w:tc>
        <w:tc>
          <w:tcPr>
            <w:tcW w:w="1910" w:type="dxa"/>
            <w:gridSpan w:val="2"/>
            <w:tcBorders>
              <w:top w:val="nil"/>
              <w:left w:val="nil"/>
              <w:bottom w:val="nil"/>
              <w:right w:val="nil"/>
            </w:tcBorders>
            <w:shd w:val="clear" w:color="000000" w:fill="FFFFFF"/>
            <w:vAlign w:val="center"/>
          </w:tcPr>
          <w:p w14:paraId="57038F1B">
            <w:pPr>
              <w:widowControl/>
              <w:overflowPunct w:val="0"/>
              <w:autoSpaceDE w:val="0"/>
              <w:autoSpaceDN w:val="0"/>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4E034B0">
        <w:tblPrEx>
          <w:tblCellMar>
            <w:top w:w="0" w:type="dxa"/>
            <w:left w:w="108" w:type="dxa"/>
            <w:bottom w:w="0" w:type="dxa"/>
            <w:right w:w="108" w:type="dxa"/>
          </w:tblCellMar>
        </w:tblPrEx>
        <w:trPr>
          <w:trHeight w:val="402" w:hRule="atLeast"/>
          <w:jc w:val="center"/>
        </w:trPr>
        <w:tc>
          <w:tcPr>
            <w:tcW w:w="3602"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3A07F55E">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项 目</w:t>
            </w:r>
          </w:p>
        </w:tc>
        <w:tc>
          <w:tcPr>
            <w:tcW w:w="4920" w:type="dxa"/>
            <w:gridSpan w:val="5"/>
            <w:tcBorders>
              <w:top w:val="single" w:color="auto" w:sz="8" w:space="0"/>
              <w:left w:val="nil"/>
              <w:bottom w:val="single" w:color="auto" w:sz="4" w:space="0"/>
              <w:right w:val="single" w:color="000000" w:sz="4" w:space="0"/>
            </w:tcBorders>
            <w:shd w:val="clear" w:color="auto" w:fill="auto"/>
            <w:vAlign w:val="center"/>
          </w:tcPr>
          <w:p w14:paraId="3672F660">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本年支出</w:t>
            </w:r>
          </w:p>
        </w:tc>
      </w:tr>
      <w:tr w14:paraId="5775DFBE">
        <w:tblPrEx>
          <w:tblCellMar>
            <w:top w:w="0" w:type="dxa"/>
            <w:left w:w="108" w:type="dxa"/>
            <w:bottom w:w="0" w:type="dxa"/>
            <w:right w:w="108" w:type="dxa"/>
          </w:tblCellMar>
        </w:tblPrEx>
        <w:trPr>
          <w:trHeight w:val="402" w:hRule="atLeast"/>
          <w:jc w:val="center"/>
        </w:trPr>
        <w:tc>
          <w:tcPr>
            <w:tcW w:w="1247"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2BFEF3B">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功能分类科目编码</w:t>
            </w:r>
          </w:p>
        </w:tc>
        <w:tc>
          <w:tcPr>
            <w:tcW w:w="2355" w:type="dxa"/>
            <w:vMerge w:val="restart"/>
            <w:tcBorders>
              <w:top w:val="nil"/>
              <w:left w:val="single" w:color="auto" w:sz="4" w:space="0"/>
              <w:bottom w:val="single" w:color="auto" w:sz="4" w:space="0"/>
              <w:right w:val="single" w:color="auto" w:sz="4" w:space="0"/>
            </w:tcBorders>
            <w:shd w:val="clear" w:color="auto" w:fill="auto"/>
            <w:vAlign w:val="center"/>
          </w:tcPr>
          <w:p w14:paraId="5248ADE7">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科目名称</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7190811">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合计</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A8376DD">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 xml:space="preserve">基本支出  </w:t>
            </w:r>
          </w:p>
        </w:tc>
        <w:tc>
          <w:tcPr>
            <w:tcW w:w="1640" w:type="dxa"/>
            <w:vMerge w:val="restart"/>
            <w:tcBorders>
              <w:top w:val="nil"/>
              <w:left w:val="single" w:color="auto" w:sz="4" w:space="0"/>
              <w:bottom w:val="single" w:color="000000" w:sz="4" w:space="0"/>
              <w:right w:val="single" w:color="auto" w:sz="4" w:space="0"/>
            </w:tcBorders>
            <w:shd w:val="clear" w:color="auto" w:fill="auto"/>
            <w:vAlign w:val="center"/>
          </w:tcPr>
          <w:p w14:paraId="0BA9976F">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项目支出</w:t>
            </w:r>
          </w:p>
        </w:tc>
      </w:tr>
      <w:tr w14:paraId="52B82165">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14:paraId="7DFF5C17">
            <w:pPr>
              <w:widowControl/>
              <w:overflowPunct w:val="0"/>
              <w:autoSpaceDE w:val="0"/>
              <w:autoSpaceDN w:val="0"/>
              <w:spacing w:line="240" w:lineRule="auto"/>
              <w:jc w:val="left"/>
              <w:rPr>
                <w:rFonts w:ascii="宋体" w:hAnsi="宋体" w:eastAsia="宋体" w:cs="宋体"/>
                <w:kern w:val="0"/>
                <w:szCs w:val="21"/>
              </w:rPr>
            </w:pPr>
          </w:p>
        </w:tc>
        <w:tc>
          <w:tcPr>
            <w:tcW w:w="2355" w:type="dxa"/>
            <w:vMerge w:val="continue"/>
            <w:tcBorders>
              <w:top w:val="nil"/>
              <w:left w:val="single" w:color="auto" w:sz="4" w:space="0"/>
              <w:bottom w:val="single" w:color="auto" w:sz="4" w:space="0"/>
              <w:right w:val="single" w:color="auto" w:sz="4" w:space="0"/>
            </w:tcBorders>
            <w:vAlign w:val="center"/>
          </w:tcPr>
          <w:p w14:paraId="3C7A909B">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14:paraId="55C0CA42">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14:paraId="5433596E">
            <w:pPr>
              <w:widowControl/>
              <w:overflowPunct w:val="0"/>
              <w:autoSpaceDE w:val="0"/>
              <w:autoSpaceDN w:val="0"/>
              <w:spacing w:line="240" w:lineRule="auto"/>
              <w:jc w:val="left"/>
              <w:rPr>
                <w:rFonts w:ascii="宋体" w:hAnsi="宋体" w:eastAsia="宋体" w:cs="宋体"/>
                <w:kern w:val="0"/>
                <w:szCs w:val="21"/>
              </w:rPr>
            </w:pPr>
          </w:p>
        </w:tc>
        <w:tc>
          <w:tcPr>
            <w:tcW w:w="1640" w:type="dxa"/>
            <w:vMerge w:val="continue"/>
            <w:tcBorders>
              <w:top w:val="nil"/>
              <w:left w:val="single" w:color="auto" w:sz="4" w:space="0"/>
              <w:bottom w:val="single" w:color="000000" w:sz="4" w:space="0"/>
              <w:right w:val="single" w:color="auto" w:sz="4" w:space="0"/>
            </w:tcBorders>
            <w:vAlign w:val="center"/>
          </w:tcPr>
          <w:p w14:paraId="1CCC632C">
            <w:pPr>
              <w:widowControl/>
              <w:overflowPunct w:val="0"/>
              <w:autoSpaceDE w:val="0"/>
              <w:autoSpaceDN w:val="0"/>
              <w:spacing w:line="240" w:lineRule="auto"/>
              <w:jc w:val="left"/>
              <w:rPr>
                <w:rFonts w:ascii="宋体" w:hAnsi="宋体" w:eastAsia="宋体" w:cs="宋体"/>
                <w:kern w:val="0"/>
                <w:szCs w:val="21"/>
              </w:rPr>
            </w:pPr>
          </w:p>
        </w:tc>
      </w:tr>
      <w:tr w14:paraId="73B27E29">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14:paraId="46A1F951">
            <w:pPr>
              <w:widowControl/>
              <w:overflowPunct w:val="0"/>
              <w:autoSpaceDE w:val="0"/>
              <w:autoSpaceDN w:val="0"/>
              <w:spacing w:line="240" w:lineRule="auto"/>
              <w:jc w:val="left"/>
              <w:rPr>
                <w:rFonts w:ascii="宋体" w:hAnsi="宋体" w:eastAsia="宋体" w:cs="宋体"/>
                <w:kern w:val="0"/>
                <w:szCs w:val="21"/>
              </w:rPr>
            </w:pPr>
          </w:p>
        </w:tc>
        <w:tc>
          <w:tcPr>
            <w:tcW w:w="2355" w:type="dxa"/>
            <w:vMerge w:val="continue"/>
            <w:tcBorders>
              <w:top w:val="nil"/>
              <w:left w:val="single" w:color="auto" w:sz="4" w:space="0"/>
              <w:bottom w:val="single" w:color="auto" w:sz="4" w:space="0"/>
              <w:right w:val="single" w:color="auto" w:sz="4" w:space="0"/>
            </w:tcBorders>
            <w:vAlign w:val="center"/>
          </w:tcPr>
          <w:p w14:paraId="22FCC491">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14:paraId="43B68E30">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14:paraId="3C702413">
            <w:pPr>
              <w:widowControl/>
              <w:overflowPunct w:val="0"/>
              <w:autoSpaceDE w:val="0"/>
              <w:autoSpaceDN w:val="0"/>
              <w:spacing w:line="240" w:lineRule="auto"/>
              <w:jc w:val="left"/>
              <w:rPr>
                <w:rFonts w:ascii="宋体" w:hAnsi="宋体" w:eastAsia="宋体" w:cs="宋体"/>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14:paraId="2903B6BA">
            <w:pPr>
              <w:widowControl/>
              <w:overflowPunct w:val="0"/>
              <w:autoSpaceDE w:val="0"/>
              <w:autoSpaceDN w:val="0"/>
              <w:spacing w:line="240" w:lineRule="auto"/>
              <w:jc w:val="left"/>
              <w:rPr>
                <w:rFonts w:ascii="宋体" w:hAnsi="宋体" w:eastAsia="宋体" w:cs="宋体"/>
                <w:kern w:val="0"/>
                <w:szCs w:val="21"/>
              </w:rPr>
            </w:pPr>
          </w:p>
        </w:tc>
      </w:tr>
      <w:tr w14:paraId="17E5D84D">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6A6604">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栏次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F1AB9A">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1</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8F972">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64CF6ED">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3</w:t>
            </w:r>
          </w:p>
        </w:tc>
      </w:tr>
      <w:tr w14:paraId="161E9800">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A732DC">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合计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C9A87D">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0.00</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6D3D87">
            <w:pPr>
              <w:widowControl/>
              <w:overflowPunct w:val="0"/>
              <w:autoSpaceDE w:val="0"/>
              <w:autoSpaceDN w:val="0"/>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B37A6DA">
            <w:pPr>
              <w:widowControl/>
              <w:overflowPunct w:val="0"/>
              <w:autoSpaceDE w:val="0"/>
              <w:autoSpaceDN w:val="0"/>
              <w:jc w:val="center"/>
              <w:textAlignment w:val="center"/>
              <w:rPr>
                <w:rFonts w:ascii="宋体" w:hAnsi="宋体" w:eastAsia="宋体" w:cs="宋体"/>
                <w:kern w:val="0"/>
                <w:szCs w:val="21"/>
              </w:rPr>
            </w:pPr>
            <w:r>
              <w:rPr>
                <w:rFonts w:hint="eastAsia" w:ascii="宋体" w:hAnsi="宋体" w:eastAsia="宋体" w:cs="宋体"/>
                <w:kern w:val="0"/>
                <w:szCs w:val="21"/>
              </w:rPr>
              <w:t>0.00</w:t>
            </w:r>
          </w:p>
        </w:tc>
      </w:tr>
      <w:tr w14:paraId="1199056A">
        <w:tblPrEx>
          <w:tblCellMar>
            <w:top w:w="0" w:type="dxa"/>
            <w:left w:w="108" w:type="dxa"/>
            <w:bottom w:w="0" w:type="dxa"/>
            <w:right w:w="108" w:type="dxa"/>
          </w:tblCellMar>
        </w:tblPrEx>
        <w:trPr>
          <w:trHeight w:val="402" w:hRule="atLeast"/>
          <w:jc w:val="center"/>
        </w:trPr>
        <w:tc>
          <w:tcPr>
            <w:tcW w:w="124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AB129B6">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　</w:t>
            </w:r>
          </w:p>
        </w:tc>
        <w:tc>
          <w:tcPr>
            <w:tcW w:w="2355" w:type="dxa"/>
            <w:tcBorders>
              <w:top w:val="single" w:color="auto" w:sz="4" w:space="0"/>
              <w:left w:val="nil"/>
              <w:bottom w:val="single" w:color="auto" w:sz="4" w:space="0"/>
              <w:right w:val="single" w:color="auto" w:sz="4" w:space="0"/>
            </w:tcBorders>
            <w:shd w:val="clear" w:color="auto" w:fill="auto"/>
            <w:vAlign w:val="center"/>
          </w:tcPr>
          <w:p w14:paraId="29ED843E">
            <w:pPr>
              <w:widowControl/>
              <w:overflowPunct w:val="0"/>
              <w:autoSpaceDE w:val="0"/>
              <w:autoSpaceDN w:val="0"/>
              <w:spacing w:line="240" w:lineRule="auto"/>
              <w:jc w:val="center"/>
              <w:rPr>
                <w:rFonts w:ascii="宋体" w:hAnsi="宋体" w:eastAsia="宋体" w:cs="宋体"/>
                <w:kern w:val="0"/>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14:paraId="541EC3E7">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14:paraId="3C6880E8">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c>
          <w:tcPr>
            <w:tcW w:w="1640" w:type="dxa"/>
            <w:tcBorders>
              <w:top w:val="single" w:color="auto" w:sz="4" w:space="0"/>
              <w:left w:val="nil"/>
              <w:bottom w:val="single" w:color="auto" w:sz="4" w:space="0"/>
              <w:right w:val="single" w:color="auto" w:sz="4" w:space="0"/>
            </w:tcBorders>
            <w:shd w:val="clear" w:color="auto" w:fill="auto"/>
            <w:vAlign w:val="center"/>
          </w:tcPr>
          <w:p w14:paraId="48AF60DA">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r>
      <w:tr w14:paraId="5B504980">
        <w:tblPrEx>
          <w:tblCellMar>
            <w:top w:w="0" w:type="dxa"/>
            <w:left w:w="108" w:type="dxa"/>
            <w:bottom w:w="0" w:type="dxa"/>
            <w:right w:w="108" w:type="dxa"/>
          </w:tblCellMar>
        </w:tblPrEx>
        <w:trPr>
          <w:trHeight w:val="720" w:hRule="atLeast"/>
          <w:jc w:val="center"/>
        </w:trPr>
        <w:tc>
          <w:tcPr>
            <w:tcW w:w="8522" w:type="dxa"/>
            <w:gridSpan w:val="8"/>
            <w:tcBorders>
              <w:top w:val="single" w:color="auto" w:sz="8" w:space="0"/>
              <w:left w:val="nil"/>
              <w:bottom w:val="nil"/>
              <w:right w:val="nil"/>
            </w:tcBorders>
            <w:shd w:val="clear" w:color="auto" w:fill="auto"/>
            <w:vAlign w:val="center"/>
          </w:tcPr>
          <w:p w14:paraId="38BD35F1">
            <w:pPr>
              <w:widowControl/>
              <w:overflowPunct w:val="0"/>
              <w:autoSpaceDE w:val="0"/>
              <w:autoSpaceDN w:val="0"/>
              <w:spacing w:line="240" w:lineRule="auto"/>
              <w:jc w:val="left"/>
              <w:rPr>
                <w:rFonts w:ascii="Times New Roman" w:hAnsi="Times New Roman" w:cs="Times New Roman"/>
                <w:color w:val="000000"/>
                <w:kern w:val="0"/>
                <w:sz w:val="24"/>
                <w:szCs w:val="24"/>
              </w:rPr>
            </w:pPr>
            <w:r>
              <w:rPr>
                <w:rFonts w:hint="eastAsia" w:ascii="宋体" w:hAnsi="宋体" w:eastAsia="宋体" w:cs="宋体"/>
                <w:sz w:val="24"/>
                <w:szCs w:val="24"/>
              </w:rPr>
              <w:t>注：1.本表反映单位本年度国有资本经营预算财政拨款支出情况。</w:t>
            </w:r>
            <w:r>
              <w:rPr>
                <w:rFonts w:hint="eastAsia" w:ascii="宋体" w:hAnsi="宋体" w:eastAsia="宋体" w:cs="宋体"/>
                <w:sz w:val="24"/>
                <w:szCs w:val="24"/>
              </w:rPr>
              <w:br w:type="textWrapping"/>
            </w:r>
            <w:r>
              <w:rPr>
                <w:rFonts w:hint="eastAsia" w:ascii="宋体" w:hAnsi="宋体" w:eastAsia="宋体" w:cs="宋体"/>
                <w:sz w:val="24"/>
                <w:szCs w:val="24"/>
              </w:rPr>
              <w:t xml:space="preserve">    2.本单位2024年度没有使用国有资本经营预算财政拨款安排的支出。</w:t>
            </w:r>
          </w:p>
        </w:tc>
      </w:tr>
    </w:tbl>
    <w:p w14:paraId="5F4B647B">
      <w:pPr>
        <w:overflowPunct w:val="0"/>
        <w:autoSpaceDE w:val="0"/>
        <w:autoSpaceDN w:val="0"/>
        <w:spacing w:line="600" w:lineRule="exact"/>
        <w:jc w:val="center"/>
        <w:rPr>
          <w:rFonts w:ascii="黑体" w:hAnsi="黑体" w:eastAsia="黑体"/>
          <w:sz w:val="36"/>
          <w:szCs w:val="36"/>
        </w:rPr>
      </w:pPr>
    </w:p>
    <w:p w14:paraId="5CBC7327">
      <w:pPr>
        <w:overflowPunct w:val="0"/>
        <w:autoSpaceDE w:val="0"/>
        <w:autoSpaceDN w:val="0"/>
        <w:spacing w:line="600" w:lineRule="exact"/>
        <w:jc w:val="center"/>
        <w:rPr>
          <w:rFonts w:ascii="黑体" w:hAnsi="黑体" w:eastAsia="黑体"/>
          <w:sz w:val="36"/>
          <w:szCs w:val="36"/>
        </w:rPr>
      </w:pPr>
    </w:p>
    <w:p w14:paraId="4590D5AE">
      <w:pPr>
        <w:overflowPunct w:val="0"/>
        <w:autoSpaceDE w:val="0"/>
        <w:autoSpaceDN w:val="0"/>
        <w:spacing w:line="600" w:lineRule="exact"/>
        <w:jc w:val="center"/>
        <w:rPr>
          <w:rFonts w:ascii="黑体" w:hAnsi="黑体" w:eastAsia="黑体"/>
          <w:sz w:val="36"/>
          <w:szCs w:val="36"/>
        </w:rPr>
      </w:pPr>
    </w:p>
    <w:p w14:paraId="4E681B8A">
      <w:pPr>
        <w:widowControl/>
        <w:overflowPunct w:val="0"/>
        <w:autoSpaceDE w:val="0"/>
        <w:autoSpaceDN w:val="0"/>
        <w:spacing w:line="240" w:lineRule="auto"/>
        <w:jc w:val="left"/>
        <w:rPr>
          <w:rFonts w:ascii="黑体" w:hAnsi="黑体" w:eastAsia="黑体"/>
          <w:sz w:val="36"/>
          <w:szCs w:val="36"/>
        </w:rPr>
      </w:pPr>
      <w:r>
        <w:rPr>
          <w:rFonts w:ascii="黑体" w:hAnsi="黑体" w:eastAsia="黑体"/>
          <w:sz w:val="36"/>
          <w:szCs w:val="36"/>
        </w:rPr>
        <w:br w:type="page"/>
      </w:r>
    </w:p>
    <w:p w14:paraId="21F0F4DC">
      <w:pPr>
        <w:pStyle w:val="4"/>
        <w:overflowPunct w:val="0"/>
        <w:jc w:val="center"/>
        <w:rPr>
          <w:rFonts w:ascii="黑体" w:hAnsi="黑体" w:eastAsia="黑体"/>
          <w:sz w:val="36"/>
          <w:szCs w:val="36"/>
          <w:lang w:eastAsia="zh-CN"/>
        </w:rPr>
      </w:pPr>
    </w:p>
    <w:p w14:paraId="3EB22980">
      <w:pPr>
        <w:pStyle w:val="4"/>
        <w:overflowPunct w:val="0"/>
        <w:jc w:val="center"/>
        <w:rPr>
          <w:rFonts w:ascii="黑体" w:hAnsi="黑体" w:eastAsia="黑体"/>
          <w:sz w:val="36"/>
          <w:szCs w:val="36"/>
          <w:lang w:eastAsia="zh-CN"/>
        </w:rPr>
      </w:pPr>
    </w:p>
    <w:p w14:paraId="06AF1552">
      <w:pPr>
        <w:pStyle w:val="4"/>
        <w:overflowPunct w:val="0"/>
        <w:jc w:val="center"/>
        <w:rPr>
          <w:rFonts w:ascii="黑体" w:hAnsi="黑体" w:eastAsia="黑体"/>
          <w:sz w:val="36"/>
          <w:szCs w:val="36"/>
          <w:lang w:eastAsia="zh-CN"/>
        </w:rPr>
      </w:pPr>
    </w:p>
    <w:p w14:paraId="7E1DD6C5">
      <w:pPr>
        <w:pStyle w:val="4"/>
        <w:overflowPunct w:val="0"/>
        <w:jc w:val="center"/>
        <w:rPr>
          <w:rFonts w:ascii="黑体" w:hAnsi="黑体" w:eastAsia="黑体"/>
          <w:sz w:val="36"/>
          <w:szCs w:val="36"/>
          <w:lang w:eastAsia="zh-CN"/>
        </w:rPr>
      </w:pPr>
    </w:p>
    <w:p w14:paraId="20F47ADB">
      <w:pPr>
        <w:pStyle w:val="4"/>
        <w:overflowPunct w:val="0"/>
        <w:jc w:val="center"/>
        <w:rPr>
          <w:rFonts w:ascii="黑体" w:hAnsi="黑体" w:eastAsia="黑体"/>
          <w:sz w:val="36"/>
          <w:szCs w:val="36"/>
          <w:lang w:eastAsia="zh-CN"/>
        </w:rPr>
      </w:pPr>
    </w:p>
    <w:p w14:paraId="4BCFD59B">
      <w:pPr>
        <w:pStyle w:val="4"/>
        <w:overflowPunct w:val="0"/>
        <w:jc w:val="center"/>
        <w:rPr>
          <w:rFonts w:ascii="黑体" w:hAnsi="黑体" w:eastAsia="黑体"/>
          <w:sz w:val="36"/>
          <w:szCs w:val="36"/>
          <w:lang w:eastAsia="zh-CN"/>
        </w:rPr>
      </w:pPr>
    </w:p>
    <w:p w14:paraId="1CCDAD56">
      <w:pPr>
        <w:pStyle w:val="4"/>
        <w:overflowPunct w:val="0"/>
        <w:jc w:val="center"/>
        <w:rPr>
          <w:rFonts w:ascii="黑体" w:hAnsi="黑体" w:eastAsia="黑体"/>
          <w:sz w:val="36"/>
          <w:szCs w:val="36"/>
          <w:lang w:eastAsia="zh-CN"/>
        </w:rPr>
      </w:pPr>
    </w:p>
    <w:p w14:paraId="681D3ECF">
      <w:pPr>
        <w:pStyle w:val="4"/>
        <w:overflowPunct w:val="0"/>
        <w:jc w:val="center"/>
        <w:rPr>
          <w:rFonts w:ascii="黑体" w:hAnsi="黑体" w:eastAsia="黑体"/>
          <w:sz w:val="36"/>
          <w:szCs w:val="36"/>
          <w:lang w:eastAsia="zh-CN"/>
        </w:rPr>
      </w:pPr>
    </w:p>
    <w:p w14:paraId="586F22B2">
      <w:pPr>
        <w:pStyle w:val="4"/>
        <w:overflowPunct w:val="0"/>
        <w:outlineLvl w:val="0"/>
        <w:rPr>
          <w:rFonts w:ascii="黑体" w:hAnsi="黑体" w:eastAsia="黑体"/>
          <w:sz w:val="56"/>
          <w:szCs w:val="36"/>
          <w:lang w:eastAsia="zh-CN"/>
        </w:rPr>
      </w:pPr>
      <w:bookmarkStart w:id="17" w:name="_Toc256000016"/>
      <w:r>
        <w:rPr>
          <w:rFonts w:hint="eastAsia" w:ascii="黑体" w:hAnsi="黑体" w:eastAsia="黑体"/>
          <w:sz w:val="56"/>
          <w:szCs w:val="36"/>
          <w:lang w:eastAsia="zh-CN"/>
        </w:rPr>
        <w:t>第三部分</w:t>
      </w:r>
      <w:bookmarkEnd w:id="17"/>
    </w:p>
    <w:p w14:paraId="07D70BC2">
      <w:pPr>
        <w:overflowPunct w:val="0"/>
        <w:autoSpaceDE w:val="0"/>
        <w:autoSpaceDN w:val="0"/>
        <w:spacing w:line="600" w:lineRule="exact"/>
        <w:jc w:val="center"/>
        <w:outlineLvl w:val="0"/>
        <w:rPr>
          <w:rFonts w:ascii="黑体" w:hAnsi="黑体" w:eastAsia="黑体"/>
          <w:sz w:val="36"/>
          <w:szCs w:val="36"/>
        </w:rPr>
      </w:pPr>
      <w:bookmarkStart w:id="18" w:name="_Toc256000017"/>
      <w:r>
        <w:rPr>
          <w:rFonts w:hint="eastAsia" w:ascii="黑体" w:hAnsi="黑体" w:eastAsia="黑体" w:cs="黑体"/>
          <w:bCs/>
          <w:sz w:val="56"/>
        </w:rPr>
        <w:t>2024年度</w:t>
      </w:r>
      <w:r>
        <w:rPr>
          <w:rFonts w:hint="eastAsia" w:ascii="黑体" w:hAnsi="黑体" w:eastAsia="黑体" w:cs="黑体"/>
          <w:bCs/>
          <w:sz w:val="56"/>
          <w:szCs w:val="56"/>
        </w:rPr>
        <w:t>单位</w:t>
      </w:r>
      <w:r>
        <w:rPr>
          <w:rFonts w:hint="eastAsia" w:ascii="黑体" w:hAnsi="黑体" w:eastAsia="黑体"/>
          <w:sz w:val="56"/>
          <w:szCs w:val="36"/>
        </w:rPr>
        <w:t>决算情况说明</w:t>
      </w:r>
      <w:bookmarkEnd w:id="18"/>
    </w:p>
    <w:p w14:paraId="030FAF81">
      <w:pPr>
        <w:overflowPunct w:val="0"/>
        <w:autoSpaceDE w:val="0"/>
        <w:autoSpaceDN w:val="0"/>
        <w:spacing w:line="600" w:lineRule="exact"/>
        <w:rPr>
          <w:rFonts w:ascii="仿宋" w:hAnsi="仿宋" w:eastAsia="仿宋"/>
          <w:sz w:val="32"/>
          <w:szCs w:val="32"/>
        </w:rPr>
      </w:pPr>
    </w:p>
    <w:p w14:paraId="1024C31B">
      <w:pPr>
        <w:widowControl/>
        <w:kinsoku w:val="0"/>
        <w:overflowPunct w:val="0"/>
        <w:autoSpaceDE w:val="0"/>
        <w:autoSpaceDN w:val="0"/>
        <w:spacing w:line="240" w:lineRule="auto"/>
        <w:jc w:val="left"/>
        <w:rPr>
          <w:rFonts w:ascii="黑体" w:hAnsi="黑体" w:eastAsia="黑体"/>
          <w:sz w:val="32"/>
          <w:szCs w:val="32"/>
        </w:rPr>
      </w:pPr>
      <w:r>
        <w:rPr>
          <w:rFonts w:ascii="黑体" w:hAnsi="黑体" w:eastAsia="黑体"/>
          <w:sz w:val="32"/>
          <w:szCs w:val="32"/>
        </w:rPr>
        <w:br w:type="page"/>
      </w:r>
    </w:p>
    <w:p w14:paraId="13AAF907">
      <w:pPr>
        <w:topLinePunct/>
        <w:spacing w:line="600" w:lineRule="exact"/>
        <w:ind w:firstLine="640" w:firstLineChars="200"/>
        <w:jc w:val="both"/>
        <w:outlineLvl w:val="1"/>
        <w:rPr>
          <w:rFonts w:ascii="黑体" w:hAnsi="黑体" w:eastAsia="黑体"/>
          <w:sz w:val="32"/>
          <w:szCs w:val="32"/>
        </w:rPr>
      </w:pPr>
      <w:bookmarkStart w:id="19" w:name="_Toc256000018"/>
      <w:r>
        <w:rPr>
          <w:rFonts w:hint="eastAsia" w:ascii="黑体" w:hAnsi="黑体" w:eastAsia="黑体"/>
          <w:sz w:val="32"/>
          <w:szCs w:val="32"/>
        </w:rPr>
        <w:t>一、收入支出决算总体情况说明</w:t>
      </w:r>
      <w:bookmarkEnd w:id="19"/>
    </w:p>
    <w:p w14:paraId="518FBAFB">
      <w:pPr>
        <w:topLinePunct/>
        <w:autoSpaceDE w:val="0"/>
        <w:spacing w:line="60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（一）收入支出决算总体情况说明</w:t>
      </w:r>
    </w:p>
    <w:p w14:paraId="698F969A">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2024年度本单位收入总计140.21万元，支出总计140.21万元，与上年决算数相比，各增加1.23万元，增长0.88%。主要是调入一名在职人员，工资及津补贴支出增加。</w:t>
      </w:r>
    </w:p>
    <w:p w14:paraId="101AF1E2">
      <w:pPr>
        <w:suppressLineNumbers/>
        <w:suppressAutoHyphens/>
        <w:topLinePunct/>
        <w:autoSpaceDE w:val="0"/>
        <w:spacing w:line="600" w:lineRule="exact"/>
        <w:ind w:firstLine="640" w:firstLineChars="200"/>
        <w:jc w:val="both"/>
        <w:rPr>
          <w:rFonts w:ascii="楷体_GB2312" w:hAnsi="仿宋" w:eastAsia="楷体_GB2312" w:cs="仿宋_GB2312"/>
          <w:sz w:val="32"/>
          <w:szCs w:val="32"/>
        </w:rPr>
      </w:pPr>
      <w:r>
        <w:rPr>
          <w:rFonts w:hint="eastAsia" w:ascii="楷体" w:hAnsi="楷体" w:eastAsia="楷体" w:cs="楷体"/>
          <w:sz w:val="32"/>
          <w:szCs w:val="32"/>
        </w:rPr>
        <w:t>（二）收入决算情况说明</w:t>
      </w:r>
    </w:p>
    <w:p w14:paraId="4CDC18FA">
      <w:pPr>
        <w:suppressLineNumbers/>
        <w:suppressAutoHyphens/>
        <w:topLinePunct/>
        <w:autoSpaceDE w:val="0"/>
        <w:adjustRightInd w:val="0"/>
        <w:spacing w:line="600" w:lineRule="exact"/>
        <w:ind w:firstLine="640" w:firstLineChars="200"/>
        <w:jc w:val="both"/>
        <w:rPr>
          <w:rFonts w:ascii="仿宋" w:hAnsi="仿宋" w:eastAsia="仿宋" w:cs="Times New Roman"/>
          <w:sz w:val="32"/>
          <w:szCs w:val="32"/>
        </w:rPr>
      </w:pPr>
      <w:r>
        <w:rPr>
          <w:rFonts w:hint="eastAsia" w:ascii="仿宋" w:hAnsi="仿宋" w:eastAsia="仿宋" w:cs="仿宋_GB2312"/>
          <w:sz w:val="32"/>
          <w:szCs w:val="32"/>
        </w:rPr>
        <w:t>2024年度收入140.21万元，比上年决算数增加1.23万元，增长0.88%</w:t>
      </w:r>
      <w:r>
        <w:rPr>
          <w:rFonts w:hint="eastAsia" w:ascii="仿宋" w:hAnsi="仿宋" w:eastAsia="仿宋"/>
          <w:sz w:val="32"/>
          <w:szCs w:val="32"/>
        </w:rPr>
        <w:t>，</w:t>
      </w:r>
      <w:r>
        <w:rPr>
          <w:rFonts w:hint="eastAsia" w:ascii="仿宋" w:hAnsi="仿宋" w:eastAsia="仿宋" w:cs="仿宋_GB2312"/>
          <w:sz w:val="32"/>
          <w:szCs w:val="32"/>
        </w:rPr>
        <w:t>具体情况如下：</w:t>
      </w:r>
    </w:p>
    <w:p w14:paraId="71C719B2">
      <w:pPr>
        <w:suppressLineNumbers/>
        <w:suppressAutoHyphens/>
        <w:topLinePunct/>
        <w:autoSpaceDE w:val="0"/>
        <w:adjustRightInd w:val="0"/>
        <w:spacing w:line="600" w:lineRule="exact"/>
        <w:ind w:left="160" w:leftChars="76" w:firstLine="480" w:firstLineChars="150"/>
        <w:jc w:val="both"/>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一般公共预算财政拨款收入140.21</w:t>
      </w:r>
      <w:r>
        <w:rPr>
          <w:rFonts w:ascii="仿宋" w:hAnsi="仿宋" w:eastAsia="仿宋" w:cs="仿宋_GB2312"/>
          <w:sz w:val="32"/>
          <w:szCs w:val="32"/>
        </w:rPr>
        <w:t>万元</w:t>
      </w:r>
      <w:r>
        <w:rPr>
          <w:rFonts w:hint="eastAsia" w:ascii="仿宋" w:hAnsi="仿宋" w:eastAsia="仿宋" w:cs="仿宋_GB2312"/>
          <w:sz w:val="32"/>
          <w:szCs w:val="32"/>
        </w:rPr>
        <w:t>。</w:t>
      </w:r>
    </w:p>
    <w:p w14:paraId="6A1F3090">
      <w:pPr>
        <w:suppressLineNumbers/>
        <w:suppressAutoHyphens/>
        <w:topLinePunct/>
        <w:autoSpaceDE w:val="0"/>
        <w:adjustRightInd w:val="0"/>
        <w:spacing w:line="600" w:lineRule="exact"/>
        <w:ind w:left="160" w:leftChars="76" w:firstLine="480" w:firstLineChars="150"/>
        <w:jc w:val="both"/>
        <w:rPr>
          <w:rFonts w:ascii="仿宋" w:hAnsi="仿宋" w:eastAsia="仿宋" w:cs="仿宋_GB2312"/>
          <w:sz w:val="32"/>
          <w:szCs w:val="32"/>
        </w:rPr>
      </w:pPr>
      <w:r>
        <w:rPr>
          <w:rFonts w:hint="eastAsia" w:ascii="仿宋" w:hAnsi="仿宋" w:eastAsia="仿宋" w:cs="仿宋_GB2312"/>
          <w:sz w:val="32"/>
          <w:szCs w:val="32"/>
        </w:rPr>
        <w:t>2.政府性基金预算财政拨款收入0.00</w:t>
      </w:r>
      <w:r>
        <w:rPr>
          <w:rFonts w:ascii="仿宋" w:hAnsi="仿宋" w:eastAsia="仿宋" w:cs="仿宋_GB2312"/>
          <w:sz w:val="32"/>
          <w:szCs w:val="32"/>
        </w:rPr>
        <w:t>万元。</w:t>
      </w:r>
    </w:p>
    <w:p w14:paraId="3A048FFF">
      <w:pPr>
        <w:suppressLineNumbers/>
        <w:suppressAutoHyphens/>
        <w:topLinePunct/>
        <w:autoSpaceDE w:val="0"/>
        <w:adjustRightInd w:val="0"/>
        <w:spacing w:line="600" w:lineRule="exact"/>
        <w:ind w:left="160" w:leftChars="76" w:firstLine="480" w:firstLineChars="150"/>
        <w:jc w:val="both"/>
        <w:rPr>
          <w:rFonts w:ascii="仿宋" w:hAnsi="仿宋" w:eastAsia="仿宋"/>
          <w:sz w:val="32"/>
          <w:szCs w:val="32"/>
        </w:rPr>
      </w:pPr>
      <w:r>
        <w:rPr>
          <w:rFonts w:hint="eastAsia" w:ascii="仿宋" w:hAnsi="仿宋" w:eastAsia="仿宋" w:cs="仿宋_GB2312"/>
          <w:sz w:val="32"/>
          <w:szCs w:val="32"/>
        </w:rPr>
        <w:t>3.国有资本经营预算财政拨款收入0.00</w:t>
      </w:r>
      <w:r>
        <w:rPr>
          <w:rFonts w:ascii="仿宋" w:hAnsi="仿宋" w:eastAsia="仿宋" w:cs="仿宋_GB2312"/>
          <w:sz w:val="32"/>
          <w:szCs w:val="32"/>
        </w:rPr>
        <w:t>万元。</w:t>
      </w:r>
    </w:p>
    <w:p w14:paraId="21939BC8">
      <w:pPr>
        <w:suppressLineNumbers/>
        <w:suppressAutoHyphens/>
        <w:topLinePunct/>
        <w:autoSpaceDE w:val="0"/>
        <w:adjustRightInd w:val="0"/>
        <w:spacing w:line="600" w:lineRule="exact"/>
        <w:ind w:firstLine="640" w:firstLineChars="200"/>
        <w:jc w:val="both"/>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上级补助收入</w:t>
      </w:r>
      <w:r>
        <w:rPr>
          <w:rFonts w:hint="eastAsia" w:ascii="仿宋" w:hAnsi="仿宋" w:eastAsia="仿宋" w:cs="仿宋_GB2312"/>
          <w:sz w:val="32"/>
          <w:szCs w:val="32"/>
        </w:rPr>
        <w:t>0.00</w:t>
      </w:r>
      <w:r>
        <w:rPr>
          <w:rFonts w:hint="eastAsia" w:ascii="仿宋" w:hAnsi="仿宋" w:eastAsia="仿宋"/>
          <w:sz w:val="32"/>
          <w:szCs w:val="32"/>
        </w:rPr>
        <w:t>万元。</w:t>
      </w:r>
    </w:p>
    <w:p w14:paraId="6D47925D">
      <w:pPr>
        <w:suppressLineNumbers/>
        <w:suppressAutoHyphens/>
        <w:topLinePunct/>
        <w:autoSpaceDE w:val="0"/>
        <w:adjustRightInd w:val="0"/>
        <w:spacing w:line="600" w:lineRule="exact"/>
        <w:ind w:firstLine="640" w:firstLineChars="200"/>
        <w:jc w:val="both"/>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0.00万元。</w:t>
      </w:r>
    </w:p>
    <w:p w14:paraId="29B9ACF0">
      <w:pPr>
        <w:suppressLineNumbers/>
        <w:suppressAutoHyphens/>
        <w:topLinePunct/>
        <w:autoSpaceDE w:val="0"/>
        <w:adjustRightInd w:val="0"/>
        <w:spacing w:line="600" w:lineRule="exact"/>
        <w:ind w:firstLine="640" w:firstLineChars="200"/>
        <w:jc w:val="both"/>
        <w:outlineLvl w:val="3"/>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0.00万元。</w:t>
      </w:r>
    </w:p>
    <w:p w14:paraId="1F479495">
      <w:pPr>
        <w:suppressLineNumbers/>
        <w:suppressAutoHyphens/>
        <w:topLinePunct/>
        <w:autoSpaceDE w:val="0"/>
        <w:adjustRightIn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0.00万元。</w:t>
      </w:r>
    </w:p>
    <w:p w14:paraId="41E66D5A">
      <w:pPr>
        <w:suppressLineNumbers/>
        <w:suppressAutoHyphens/>
        <w:topLinePunct/>
        <w:autoSpaceDE w:val="0"/>
        <w:adjustRightInd w:val="0"/>
        <w:spacing w:line="600" w:lineRule="exact"/>
        <w:ind w:firstLine="640" w:firstLineChars="200"/>
        <w:jc w:val="both"/>
        <w:outlineLvl w:val="3"/>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0.00万元。</w:t>
      </w:r>
    </w:p>
    <w:p w14:paraId="66FC515A">
      <w:pPr>
        <w:suppressLineNumbers/>
        <w:suppressAutoHyphens/>
        <w:topLinePunct/>
        <w:autoSpaceDE w:val="0"/>
        <w:spacing w:line="60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（三）支出决算情况说明</w:t>
      </w:r>
    </w:p>
    <w:p w14:paraId="552F2357">
      <w:pPr>
        <w:suppressLineNumbers/>
        <w:suppressAutoHyphens/>
        <w:topLinePunct/>
        <w:autoSpaceDE w:val="0"/>
        <w:spacing w:line="274" w:lineRule="auto"/>
        <w:ind w:firstLine="640" w:firstLineChars="200"/>
        <w:jc w:val="both"/>
        <w:rPr>
          <w:rFonts w:ascii="仿宋" w:hAnsi="仿宋" w:eastAsia="仿宋" w:cs="Times New Roman"/>
          <w:sz w:val="32"/>
          <w:szCs w:val="32"/>
        </w:rPr>
      </w:pPr>
      <w:r>
        <w:rPr>
          <w:rFonts w:hint="eastAsia" w:ascii="仿宋" w:hAnsi="仿宋" w:eastAsia="仿宋" w:cs="仿宋_GB2312"/>
          <w:sz w:val="32"/>
          <w:szCs w:val="32"/>
        </w:rPr>
        <w:t>2024年度支出140.21万元，比上年决算数增加1.23万元，增长0.88%</w:t>
      </w:r>
      <w:r>
        <w:rPr>
          <w:rFonts w:hint="eastAsia" w:ascii="仿宋" w:hAnsi="仿宋" w:eastAsia="仿宋"/>
          <w:sz w:val="32"/>
          <w:szCs w:val="32"/>
        </w:rPr>
        <w:t>，</w:t>
      </w:r>
      <w:r>
        <w:rPr>
          <w:rFonts w:hint="eastAsia" w:ascii="仿宋" w:hAnsi="仿宋" w:eastAsia="仿宋" w:cs="仿宋_GB2312"/>
          <w:sz w:val="32"/>
          <w:szCs w:val="32"/>
        </w:rPr>
        <w:t>具体情况如下：</w:t>
      </w:r>
    </w:p>
    <w:p w14:paraId="35FDB51A">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基本支出137.42万元。其中，人员支出133.46万元，公用支出3.96万元。</w:t>
      </w:r>
    </w:p>
    <w:p w14:paraId="3030CDF7">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项目支出2.79万元。</w:t>
      </w:r>
    </w:p>
    <w:p w14:paraId="06C30ECB">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上缴上级支出0.00万元。</w:t>
      </w:r>
    </w:p>
    <w:p w14:paraId="1E676DED">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经营支出0.00万元。</w:t>
      </w:r>
    </w:p>
    <w:p w14:paraId="23CEABB3">
      <w:pPr>
        <w:suppressLineNumbers/>
        <w:suppressAutoHyphens/>
        <w:topLinePunct/>
        <w:autoSpaceDE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对附属单位补助支出0.00万元。</w:t>
      </w:r>
    </w:p>
    <w:p w14:paraId="62233F56">
      <w:pPr>
        <w:suppressLineNumbers/>
        <w:suppressAutoHyphens/>
        <w:topLinePunct/>
        <w:autoSpaceDE w:val="0"/>
        <w:adjustRightInd w:val="0"/>
        <w:spacing w:line="240" w:lineRule="auto"/>
        <w:ind w:firstLine="480" w:firstLineChars="150"/>
        <w:jc w:val="both"/>
        <w:outlineLvl w:val="1"/>
        <w:rPr>
          <w:rFonts w:ascii="黑体" w:eastAsia="黑体" w:cs="黑体"/>
          <w:kern w:val="0"/>
          <w:sz w:val="32"/>
          <w:szCs w:val="32"/>
        </w:rPr>
      </w:pPr>
      <w:bookmarkStart w:id="20" w:name="_Toc256000019"/>
      <w:r>
        <w:rPr>
          <w:rFonts w:hint="eastAsia" w:ascii="黑体" w:hAnsi="黑体" w:eastAsia="黑体"/>
          <w:sz w:val="32"/>
          <w:szCs w:val="32"/>
        </w:rPr>
        <w:t>二、</w:t>
      </w:r>
      <w:r>
        <w:rPr>
          <w:rFonts w:hint="eastAsia" w:ascii="黑体" w:eastAsia="黑体" w:cs="黑体"/>
          <w:kern w:val="0"/>
          <w:sz w:val="32"/>
          <w:szCs w:val="32"/>
        </w:rPr>
        <w:t>财政拨款收入支出决算总体情况说明</w:t>
      </w:r>
      <w:bookmarkEnd w:id="20"/>
    </w:p>
    <w:p w14:paraId="0155DFDD">
      <w:pPr>
        <w:suppressLineNumbers/>
        <w:suppressAutoHyphens/>
        <w:topLinePunct/>
        <w:autoSpaceDE w:val="0"/>
        <w:adjustRightInd w:val="0"/>
        <w:spacing w:line="240" w:lineRule="auto"/>
        <w:ind w:firstLine="640" w:firstLineChars="200"/>
        <w:jc w:val="both"/>
        <w:rPr>
          <w:rFonts w:ascii="仿宋" w:hAnsi="仿宋" w:eastAsia="仿宋"/>
          <w:sz w:val="32"/>
          <w:szCs w:val="32"/>
        </w:rPr>
      </w:pPr>
      <w:r>
        <w:rPr>
          <w:rFonts w:hint="eastAsia" w:ascii="仿宋" w:hAnsi="仿宋" w:eastAsia="仿宋" w:cs="仿宋_GB2312"/>
          <w:sz w:val="32"/>
          <w:szCs w:val="32"/>
        </w:rPr>
        <w:t>2024</w:t>
      </w:r>
      <w:r>
        <w:rPr>
          <w:rFonts w:hint="eastAsia" w:ascii="仿宋" w:hAnsi="仿宋" w:eastAsia="仿宋" w:cs="仿宋_GB2312"/>
          <w:kern w:val="0"/>
          <w:sz w:val="32"/>
          <w:szCs w:val="32"/>
        </w:rPr>
        <w:t>年度财政拨款</w:t>
      </w:r>
      <w:r>
        <w:rPr>
          <w:rFonts w:hint="eastAsia" w:ascii="仿宋" w:hAnsi="仿宋" w:eastAsia="仿宋" w:cs="仿宋_GB2312"/>
          <w:sz w:val="32"/>
          <w:szCs w:val="32"/>
        </w:rPr>
        <w:t>收入总计140.21万元， 支出总计140.21万元，与上年决算数相比，</w:t>
      </w:r>
      <w:r>
        <w:rPr>
          <w:rFonts w:hint="eastAsia" w:ascii="仿宋" w:hAnsi="仿宋" w:eastAsia="仿宋" w:cs="仿宋_GB2312"/>
          <w:kern w:val="0"/>
          <w:sz w:val="32"/>
          <w:szCs w:val="32"/>
        </w:rPr>
        <w:t>各增加1.23万元，增长0.88%，主要是：</w:t>
      </w:r>
      <w:r>
        <w:rPr>
          <w:rFonts w:hint="eastAsia" w:ascii="仿宋" w:hAnsi="仿宋" w:eastAsia="仿宋" w:cs="仿宋_GB2312"/>
          <w:sz w:val="32"/>
          <w:szCs w:val="32"/>
        </w:rPr>
        <w:t>调入一名在职人员，工资及津补贴支出增加</w:t>
      </w:r>
      <w:r>
        <w:rPr>
          <w:rFonts w:ascii="仿宋" w:hAnsi="仿宋" w:eastAsia="仿宋" w:cs="仿宋"/>
          <w:sz w:val="32"/>
        </w:rPr>
        <w:t>。</w:t>
      </w:r>
    </w:p>
    <w:p w14:paraId="3B0F11D7">
      <w:pPr>
        <w:suppressLineNumbers/>
        <w:suppressAutoHyphens/>
        <w:topLinePunct/>
        <w:autoSpaceDE w:val="0"/>
        <w:spacing w:line="600" w:lineRule="exact"/>
        <w:ind w:firstLine="640" w:firstLineChars="200"/>
        <w:jc w:val="both"/>
        <w:outlineLvl w:val="1"/>
        <w:rPr>
          <w:rFonts w:ascii="黑体" w:hAnsi="黑体" w:eastAsia="黑体"/>
          <w:sz w:val="32"/>
          <w:szCs w:val="32"/>
        </w:rPr>
      </w:pPr>
      <w:bookmarkStart w:id="21" w:name="_Toc256000020"/>
      <w:r>
        <w:rPr>
          <w:rFonts w:hint="eastAsia" w:ascii="黑体" w:hAnsi="黑体" w:eastAsia="黑体"/>
          <w:sz w:val="32"/>
          <w:szCs w:val="32"/>
        </w:rPr>
        <w:t>三、一般公共预算拨款支出决算情况说明</w:t>
      </w:r>
      <w:bookmarkEnd w:id="21"/>
    </w:p>
    <w:p w14:paraId="4B5AAF46">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2024年一般公共预算拨款支出140.21万元，比上年决算数增加1.23万元，增长0.88%，具体情况如下 (按项级科目分类统计)：</w:t>
      </w:r>
    </w:p>
    <w:p w14:paraId="054B21C3">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
          <w:sz w:val="32"/>
          <w:u w:color="auto"/>
        </w:rPr>
        <w:t>2013102-一般行政管理事务2.79万元，较上年决算数增加2.79万元。</w:t>
      </w:r>
      <w:r>
        <w:rPr>
          <w:rFonts w:hint="eastAsia" w:ascii="仿宋" w:hAnsi="仿宋" w:eastAsia="仿宋" w:cs="仿宋_GB2312"/>
          <w:sz w:val="32"/>
          <w:szCs w:val="32"/>
        </w:rPr>
        <w:t>主要原因是调剂使用工作经费，保障日常工作支出。</w:t>
      </w:r>
    </w:p>
    <w:p w14:paraId="43CFAEA7">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
          <w:sz w:val="32"/>
          <w:u w:color="auto"/>
        </w:rPr>
        <w:t>2013150-事业运行86.78万元，较上年决算数减少52.21万元，下降37.56%。</w:t>
      </w:r>
      <w:r>
        <w:rPr>
          <w:rFonts w:hint="eastAsia" w:ascii="仿宋" w:hAnsi="仿宋" w:eastAsia="仿宋" w:cs="仿宋_GB2312"/>
          <w:sz w:val="32"/>
          <w:szCs w:val="32"/>
        </w:rPr>
        <w:t>主要原因是</w:t>
      </w:r>
      <w:r>
        <w:rPr>
          <w:rFonts w:ascii="仿宋" w:hAnsi="仿宋" w:eastAsia="仿宋" w:cs="仿宋"/>
          <w:sz w:val="32"/>
          <w:u w:color="auto"/>
        </w:rPr>
        <w:t>支出功能科目调整，2023年度在职人员五险二金等项目在“2013150-事业运行”科目中支出，2024年度调整至其他支出功能科目中支出</w:t>
      </w:r>
      <w:r>
        <w:rPr>
          <w:rFonts w:hint="eastAsia" w:ascii="仿宋" w:hAnsi="仿宋" w:eastAsia="仿宋" w:cs="仿宋_GB2312"/>
          <w:sz w:val="32"/>
          <w:szCs w:val="32"/>
        </w:rPr>
        <w:t>。</w:t>
      </w:r>
    </w:p>
    <w:p w14:paraId="311ADB87">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
          <w:sz w:val="32"/>
          <w:u w:color="auto"/>
        </w:rPr>
        <w:t>2080505-机关事业单位基本养老保险缴费支出12.66万元，较上年决算数增加12.66万元。</w:t>
      </w:r>
      <w:r>
        <w:rPr>
          <w:rFonts w:hint="eastAsia" w:ascii="仿宋" w:hAnsi="仿宋" w:eastAsia="仿宋" w:cs="仿宋_GB2312"/>
          <w:sz w:val="32"/>
          <w:szCs w:val="32"/>
        </w:rPr>
        <w:t>主要原因是支出功能分类调整，将养老保险调整至社会保障和就业支出。</w:t>
      </w:r>
    </w:p>
    <w:p w14:paraId="2B3E7A98">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
          <w:sz w:val="32"/>
          <w:u w:color="auto"/>
        </w:rPr>
        <w:t>2080506-机关事业单位职业年金缴费支出6.62万元，较上年决算数增加6.62万元。</w:t>
      </w:r>
      <w:r>
        <w:rPr>
          <w:rFonts w:hint="eastAsia" w:ascii="仿宋" w:hAnsi="仿宋" w:eastAsia="仿宋" w:cs="仿宋_GB2312"/>
          <w:sz w:val="32"/>
          <w:szCs w:val="32"/>
        </w:rPr>
        <w:t>主要原因是支出功能分类调整，将职业年金调整至社会保障和就业支出。</w:t>
      </w:r>
    </w:p>
    <w:p w14:paraId="586864C8">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（五）</w:t>
      </w:r>
      <w:r>
        <w:rPr>
          <w:rFonts w:ascii="仿宋" w:hAnsi="仿宋" w:eastAsia="仿宋" w:cs="仿宋"/>
          <w:sz w:val="32"/>
          <w:u w:color="auto"/>
        </w:rPr>
        <w:t>2089999-其他社会保障和就业支出0.05万元，较上年决算数增加0.05万元。</w:t>
      </w:r>
      <w:r>
        <w:rPr>
          <w:rFonts w:hint="eastAsia" w:ascii="仿宋" w:hAnsi="仿宋" w:eastAsia="仿宋" w:cs="仿宋_GB2312"/>
          <w:sz w:val="32"/>
          <w:szCs w:val="32"/>
        </w:rPr>
        <w:t>主要原因是支出功能分类调整，将工伤保险调整至社会保障和就业支出。</w:t>
      </w:r>
    </w:p>
    <w:p w14:paraId="22785429">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（六）</w:t>
      </w:r>
      <w:r>
        <w:rPr>
          <w:rFonts w:ascii="仿宋" w:hAnsi="仿宋" w:eastAsia="仿宋" w:cs="仿宋"/>
          <w:sz w:val="32"/>
          <w:u w:color="auto"/>
        </w:rPr>
        <w:t>2101102-事业单位医疗3.96万元，较上年决算数增加3.96万元。</w:t>
      </w:r>
      <w:r>
        <w:rPr>
          <w:rFonts w:hint="eastAsia" w:ascii="仿宋" w:hAnsi="仿宋" w:eastAsia="仿宋" w:cs="仿宋_GB2312"/>
          <w:sz w:val="32"/>
          <w:szCs w:val="32"/>
        </w:rPr>
        <w:t>主要原因是支出功能分类调整，将医疗保险调整至卫生健康支出。</w:t>
      </w:r>
    </w:p>
    <w:p w14:paraId="61D981C9">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（七）</w:t>
      </w:r>
      <w:r>
        <w:rPr>
          <w:rFonts w:ascii="仿宋" w:hAnsi="仿宋" w:eastAsia="仿宋" w:cs="仿宋"/>
          <w:sz w:val="32"/>
          <w:u w:color="auto"/>
        </w:rPr>
        <w:t>2101103-公务员医疗补助3.18万元，较上年决算数增加3.18万元。</w:t>
      </w:r>
      <w:r>
        <w:rPr>
          <w:rFonts w:hint="eastAsia" w:ascii="仿宋" w:hAnsi="仿宋" w:eastAsia="仿宋" w:cs="仿宋_GB2312"/>
          <w:sz w:val="32"/>
          <w:szCs w:val="32"/>
        </w:rPr>
        <w:t>主要原因是支出功能分类调整，将公务员医疗补助调整至卫生健康支出。</w:t>
      </w:r>
    </w:p>
    <w:p w14:paraId="32933BA9">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（八）</w:t>
      </w:r>
      <w:r>
        <w:rPr>
          <w:rFonts w:ascii="仿宋" w:hAnsi="仿宋" w:eastAsia="仿宋" w:cs="仿宋"/>
          <w:sz w:val="32"/>
          <w:u w:color="auto"/>
        </w:rPr>
        <w:t>2210201-住房公积金10.85万元，较上年决算数增加10.85万元。</w:t>
      </w:r>
      <w:r>
        <w:rPr>
          <w:rFonts w:hint="eastAsia" w:ascii="仿宋" w:hAnsi="仿宋" w:eastAsia="仿宋" w:cs="仿宋_GB2312"/>
          <w:sz w:val="32"/>
          <w:szCs w:val="32"/>
        </w:rPr>
        <w:t>主要原因是支出功能分类调整，将住房公积金调整至住房保障支出。</w:t>
      </w:r>
    </w:p>
    <w:p w14:paraId="7601F106">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（九）</w:t>
      </w:r>
      <w:r>
        <w:rPr>
          <w:rFonts w:ascii="仿宋" w:hAnsi="仿宋" w:eastAsia="仿宋" w:cs="仿宋"/>
          <w:sz w:val="32"/>
          <w:u w:color="auto"/>
        </w:rPr>
        <w:t>2210202-提租补贴2.00万元，较上年决算数增加2.00万元。</w:t>
      </w:r>
      <w:r>
        <w:rPr>
          <w:rFonts w:hint="eastAsia" w:ascii="仿宋" w:hAnsi="仿宋" w:eastAsia="仿宋" w:cs="仿宋_GB2312"/>
          <w:sz w:val="32"/>
          <w:szCs w:val="32"/>
        </w:rPr>
        <w:t>主要原因是支出功能分类调整，将提租补贴调整至住房保障支出。</w:t>
      </w:r>
    </w:p>
    <w:p w14:paraId="739A5C72">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（十）</w:t>
      </w:r>
      <w:r>
        <w:rPr>
          <w:rFonts w:ascii="仿宋" w:hAnsi="仿宋" w:eastAsia="仿宋" w:cs="仿宋"/>
          <w:sz w:val="32"/>
          <w:u w:color="auto"/>
        </w:rPr>
        <w:t>2210203-购房补贴11.32万元，较上年决算数增加11.32万元。</w:t>
      </w:r>
      <w:r>
        <w:rPr>
          <w:rFonts w:hint="eastAsia" w:ascii="仿宋" w:hAnsi="仿宋" w:eastAsia="仿宋" w:cs="仿宋_GB2312"/>
          <w:sz w:val="32"/>
          <w:szCs w:val="32"/>
        </w:rPr>
        <w:t>主要原因是支出功能分类调整，将购房补贴调整至住房保障支出。</w:t>
      </w:r>
    </w:p>
    <w:p w14:paraId="32ECB345">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2" w:name="_Toc256000021"/>
      <w:r>
        <w:rPr>
          <w:rFonts w:hint="eastAsia" w:ascii="黑体" w:hAnsi="黑体" w:eastAsia="黑体" w:cs="仿宋_GB2312"/>
          <w:bCs/>
          <w:sz w:val="32"/>
          <w:szCs w:val="32"/>
        </w:rPr>
        <w:t>四、政府性基金预算财政拨款支出决算情况说明</w:t>
      </w:r>
      <w:bookmarkEnd w:id="22"/>
    </w:p>
    <w:p w14:paraId="3A2F5E9A">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2024年度政府性基金支出0.00万元，比上年决算数增加0.00万元，与上年决算数持平。</w:t>
      </w:r>
    </w:p>
    <w:p w14:paraId="2A58CE96">
      <w:pPr>
        <w:suppressLineNumbers/>
        <w:suppressAutoHyphens/>
        <w:kinsoku w:val="0"/>
        <w:overflowPunct w:val="0"/>
        <w:autoSpaceDE w:val="0"/>
        <w:autoSpaceDN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本单位2024年度没有使用政府性基金预算拨款安排的支出。</w:t>
      </w:r>
    </w:p>
    <w:p w14:paraId="6F3621A6">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3" w:name="_Toc256000022"/>
      <w:r>
        <w:rPr>
          <w:rFonts w:hint="eastAsia" w:ascii="黑体" w:hAnsi="黑体" w:eastAsia="黑体" w:cs="仿宋_GB2312"/>
          <w:bCs/>
          <w:sz w:val="32"/>
          <w:szCs w:val="32"/>
        </w:rPr>
        <w:t>五、国有资本经营预算财政拨款支出决算情况说明</w:t>
      </w:r>
      <w:bookmarkEnd w:id="23"/>
    </w:p>
    <w:p w14:paraId="79C59DCB">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2024年度国有资本经营预算支出0.00万元，比上年决算数增加0.00万元，与上年决算数持平。</w:t>
      </w:r>
    </w:p>
    <w:p w14:paraId="02B288E3">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本单位2024年度没有使用国有资本经营预算财政拨款安排的支出。</w:t>
      </w:r>
    </w:p>
    <w:p w14:paraId="3713D6CD">
      <w:pPr>
        <w:pStyle w:val="2"/>
        <w:spacing w:before="0" w:after="0" w:line="240" w:lineRule="auto"/>
        <w:ind w:firstLine="640" w:firstLineChars="200"/>
        <w:jc w:val="both"/>
        <w:rPr>
          <w:rFonts w:ascii="黑体" w:hAnsi="黑体" w:eastAsia="黑体" w:cs="仿宋_GB2312"/>
          <w:b w:val="0"/>
        </w:rPr>
      </w:pPr>
      <w:bookmarkStart w:id="24" w:name="_Toc256000023"/>
      <w:r>
        <w:rPr>
          <w:rFonts w:hint="eastAsia" w:ascii="黑体" w:hAnsi="黑体" w:eastAsia="黑体" w:cs="仿宋_GB2312"/>
          <w:b w:val="0"/>
        </w:rPr>
        <w:t>六、一般公共预算财政拨款基本支出决算情况说明</w:t>
      </w:r>
      <w:bookmarkEnd w:id="24"/>
    </w:p>
    <w:p w14:paraId="332F556B">
      <w:pPr>
        <w:suppressLineNumbers/>
        <w:tabs>
          <w:tab w:val="left" w:pos="7513"/>
        </w:tab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财政拨款基本支出137.42万元，其中：</w:t>
      </w:r>
    </w:p>
    <w:p w14:paraId="2D9AEF51">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人员经费133.46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6FC23380">
      <w:pPr>
        <w:suppressLineNumbers/>
        <w:suppressAutoHyphens/>
        <w:topLinePunct/>
        <w:autoSpaceDE w:val="0"/>
        <w:adjustRightInd w:val="0"/>
        <w:spacing w:line="240" w:lineRule="auto"/>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公用经费3.96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65C1898">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5" w:name="_Toc256000024"/>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bookmarkEnd w:id="25"/>
    </w:p>
    <w:p w14:paraId="154B69B4">
      <w:pPr>
        <w:suppressLineNumbers/>
        <w:suppressAutoHyphens/>
        <w:topLinePunct/>
        <w:autoSpaceDE w:val="0"/>
        <w:spacing w:line="274" w:lineRule="auto"/>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_GB2312"/>
          <w:sz w:val="32"/>
          <w:szCs w:val="32"/>
        </w:rPr>
        <w:t>年</w:t>
      </w:r>
      <w:r>
        <w:rPr>
          <w:rFonts w:hint="eastAsia" w:ascii="仿宋" w:hAnsi="仿宋" w:eastAsia="仿宋" w:cs="仿宋_GB2312"/>
          <w:sz w:val="32"/>
          <w:szCs w:val="32"/>
        </w:rPr>
        <w:t>度一般公共预算拨款“三公”经费支出0.00万元，与全年预算持平；较上年增加0.00万元，与上年决算持平。主要原因是本年无一般公共预算财政拨款“三公”经费支出</w:t>
      </w:r>
      <w:r>
        <w:rPr>
          <w:rFonts w:ascii="仿宋" w:hAnsi="仿宋" w:eastAsia="仿宋" w:cs="仿宋_GB2312"/>
          <w:sz w:val="32"/>
          <w:szCs w:val="32"/>
        </w:rPr>
        <w:t>。具体情况如下：</w:t>
      </w:r>
      <w:r>
        <w:br w:type="textWrapping"/>
      </w:r>
      <w:r>
        <w:rPr>
          <w:rFonts w:hint="eastAsia" w:ascii="仿宋" w:hAnsi="仿宋" w:eastAsia="仿宋" w:cs="仿宋_GB2312"/>
          <w:sz w:val="32"/>
          <w:szCs w:val="32"/>
        </w:rPr>
        <w:t>　　（一）因公出国（境）费支出0.00万元，与全年预算持平；较上年增加0.00万元，与上年决算持平。全年安排本单位组织的出国团组</w:t>
      </w:r>
      <w:r>
        <w:rPr>
          <w:rFonts w:hint="eastAsia" w:ascii="仿宋" w:hAnsi="仿宋" w:eastAsia="仿宋" w:cs="仿宋"/>
          <w:sz w:val="32"/>
        </w:rPr>
        <w:t>0</w:t>
      </w:r>
      <w:r>
        <w:rPr>
          <w:rFonts w:hint="eastAsia" w:ascii="仿宋" w:hAnsi="仿宋" w:eastAsia="仿宋" w:cs="仿宋_GB2312"/>
          <w:sz w:val="32"/>
          <w:szCs w:val="32"/>
        </w:rPr>
        <w:t>个，参加其他单位出国团组</w:t>
      </w:r>
      <w:r>
        <w:rPr>
          <w:rFonts w:hint="eastAsia" w:ascii="仿宋" w:hAnsi="仿宋" w:eastAsia="仿宋" w:cs="仿宋"/>
          <w:sz w:val="32"/>
        </w:rPr>
        <w:t>0</w:t>
      </w:r>
      <w:r>
        <w:rPr>
          <w:rFonts w:hint="eastAsia" w:ascii="仿宋" w:hAnsi="仿宋" w:eastAsia="仿宋" w:cs="仿宋_GB2312"/>
          <w:sz w:val="32"/>
          <w:szCs w:val="32"/>
        </w:rPr>
        <w:t>个；全年因公出国（境）累计</w:t>
      </w:r>
      <w:r>
        <w:rPr>
          <w:rFonts w:hint="eastAsia" w:ascii="仿宋" w:hAnsi="仿宋" w:eastAsia="仿宋" w:cs="仿宋"/>
          <w:sz w:val="32"/>
        </w:rPr>
        <w:t>0</w:t>
      </w:r>
      <w:r>
        <w:rPr>
          <w:rFonts w:hint="eastAsia" w:ascii="仿宋" w:hAnsi="仿宋" w:eastAsia="仿宋" w:cs="仿宋_GB2312"/>
          <w:sz w:val="32"/>
          <w:szCs w:val="32"/>
        </w:rPr>
        <w:t>人次。主要是本年无因公出国（境）费用支出。</w:t>
      </w:r>
    </w:p>
    <w:p w14:paraId="43D6BBC6">
      <w:pPr>
        <w:suppressLineNumbers/>
        <w:tabs>
          <w:tab w:val="left" w:pos="7513"/>
        </w:tabs>
        <w:suppressAutoHyphens/>
        <w:topLinePunct/>
        <w:autoSpaceDE w:val="0"/>
        <w:adjustRightInd w:val="0"/>
        <w:snapToGrid w:val="0"/>
        <w:spacing w:line="600" w:lineRule="exact"/>
        <w:ind w:firstLine="645"/>
        <w:jc w:val="both"/>
        <w:rPr>
          <w:rFonts w:ascii="仿宋" w:hAnsi="仿宋" w:eastAsia="仿宋" w:cs="仿宋_GB2312"/>
          <w:sz w:val="32"/>
          <w:szCs w:val="32"/>
        </w:rPr>
      </w:pPr>
      <w:r>
        <w:rPr>
          <w:rFonts w:ascii="仿宋" w:hAnsi="仿宋" w:eastAsia="仿宋" w:cs="仿宋_GB2312"/>
          <w:sz w:val="32"/>
          <w:szCs w:val="32"/>
        </w:rPr>
        <w:t>（二）</w:t>
      </w:r>
      <w:r>
        <w:rPr>
          <w:rFonts w:hint="eastAsia" w:ascii="仿宋" w:hAnsi="仿宋" w:eastAsia="仿宋" w:cs="仿宋_GB2312"/>
          <w:sz w:val="32"/>
          <w:szCs w:val="32"/>
        </w:rPr>
        <w:t>公务用车购置及运行费支出0.00万元，与全年预算持平；较上年增加0.00万元，与上年决算持平。</w:t>
      </w:r>
      <w:r>
        <w:rPr>
          <w:rFonts w:ascii="仿宋" w:hAnsi="仿宋" w:eastAsia="仿宋" w:cs="仿宋_GB2312"/>
          <w:sz w:val="32"/>
          <w:szCs w:val="32"/>
        </w:rPr>
        <w:t>其中：</w:t>
      </w:r>
    </w:p>
    <w:p w14:paraId="60FBED57">
      <w:pPr>
        <w:suppressLineNumbers/>
        <w:tabs>
          <w:tab w:val="left" w:pos="7513"/>
        </w:tabs>
        <w:suppressAutoHyphens/>
        <w:topLinePunct/>
        <w:autoSpaceDE w:val="0"/>
        <w:adjustRightInd w:val="0"/>
        <w:snapToGrid w:val="0"/>
        <w:spacing w:line="600" w:lineRule="exact"/>
        <w:ind w:firstLine="645"/>
        <w:jc w:val="both"/>
        <w:rPr>
          <w:rFonts w:ascii="仿宋" w:hAnsi="仿宋" w:eastAsia="仿宋" w:cs="仿宋_GB2312"/>
          <w:sz w:val="32"/>
          <w:szCs w:val="32"/>
        </w:rPr>
      </w:pPr>
      <w:r>
        <w:rPr>
          <w:rFonts w:hint="eastAsia" w:ascii="仿宋" w:hAnsi="仿宋" w:eastAsia="仿宋" w:cs="仿宋_GB2312"/>
          <w:sz w:val="32"/>
          <w:szCs w:val="32"/>
        </w:rPr>
        <w:t>公务用车购置费支出0.00万元，与全年预算持平；较上年增加0.00万元，与上年决算持平。</w:t>
      </w:r>
      <w:r>
        <w:rPr>
          <w:rFonts w:hint="eastAsia" w:ascii="仿宋" w:hAnsi="仿宋" w:eastAsia="仿宋" w:cs="仿宋"/>
          <w:sz w:val="32"/>
        </w:rPr>
        <w:t>2024</w:t>
      </w:r>
      <w:r>
        <w:rPr>
          <w:rFonts w:ascii="仿宋" w:hAnsi="仿宋" w:eastAsia="仿宋" w:cs="仿宋_GB2312"/>
          <w:sz w:val="32"/>
          <w:szCs w:val="32"/>
        </w:rPr>
        <w:t>年公务用车购置</w:t>
      </w:r>
      <w:r>
        <w:rPr>
          <w:rFonts w:hint="eastAsia" w:ascii="仿宋" w:hAnsi="仿宋" w:eastAsia="仿宋" w:cs="仿宋_GB2312"/>
          <w:sz w:val="32"/>
          <w:szCs w:val="32"/>
        </w:rPr>
        <w:t>0辆，</w:t>
      </w:r>
      <w:r>
        <w:rPr>
          <w:rFonts w:ascii="仿宋" w:hAnsi="仿宋" w:eastAsia="仿宋" w:cs="仿宋_GB2312"/>
          <w:sz w:val="32"/>
          <w:szCs w:val="32"/>
        </w:rPr>
        <w:t>主要是</w:t>
      </w:r>
      <w:r>
        <w:rPr>
          <w:rFonts w:hint="eastAsia" w:ascii="仿宋" w:hAnsi="仿宋" w:eastAsia="仿宋" w:cs="仿宋_GB2312"/>
          <w:sz w:val="32"/>
          <w:szCs w:val="32"/>
        </w:rPr>
        <w:t>本年无公务用车购置费用支出</w:t>
      </w:r>
      <w:r>
        <w:rPr>
          <w:rFonts w:ascii="仿宋" w:hAnsi="仿宋" w:eastAsia="仿宋" w:cs="仿宋_GB2312"/>
          <w:sz w:val="32"/>
          <w:szCs w:val="32"/>
        </w:rPr>
        <w:t>。</w:t>
      </w:r>
    </w:p>
    <w:p w14:paraId="15129728">
      <w:pPr>
        <w:suppressLineNumbers/>
        <w:tabs>
          <w:tab w:val="left" w:pos="7513"/>
        </w:tabs>
        <w:suppressAutoHyphens/>
        <w:topLinePunct/>
        <w:autoSpaceDE w:val="0"/>
        <w:adjustRightInd w:val="0"/>
        <w:snapToGrid w:val="0"/>
        <w:spacing w:line="600" w:lineRule="exact"/>
        <w:ind w:firstLine="646"/>
        <w:jc w:val="both"/>
        <w:rPr>
          <w:rFonts w:ascii="仿宋" w:hAnsi="仿宋" w:eastAsia="仿宋" w:cs="仿宋_GB2312"/>
          <w:sz w:val="32"/>
          <w:szCs w:val="32"/>
        </w:rPr>
      </w:pPr>
      <w:r>
        <w:rPr>
          <w:rFonts w:hint="eastAsia" w:ascii="仿宋" w:hAnsi="仿宋" w:eastAsia="仿宋" w:cs="仿宋_GB2312"/>
          <w:sz w:val="32"/>
          <w:szCs w:val="32"/>
        </w:rPr>
        <w:t>公务用车运行费支出0.00万元，与全年预算持平；较上年增加0.00万元，与上年决算持平。主要是本年无公务用车运行费用支出。截至</w:t>
      </w:r>
      <w:r>
        <w:rPr>
          <w:rFonts w:hint="eastAsia" w:ascii="仿宋" w:hAnsi="仿宋" w:eastAsia="仿宋" w:cs="仿宋"/>
          <w:sz w:val="32"/>
        </w:rPr>
        <w:t>2024</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日，本单位公务用车保有量为0辆</w:t>
      </w:r>
      <w:r>
        <w:rPr>
          <w:rFonts w:ascii="仿宋" w:hAnsi="仿宋" w:eastAsia="仿宋" w:cs="仿宋_GB2312"/>
          <w:sz w:val="32"/>
          <w:szCs w:val="32"/>
        </w:rPr>
        <w:t>。</w:t>
      </w:r>
    </w:p>
    <w:p w14:paraId="413DD554">
      <w:pPr>
        <w:suppressLineNumbers/>
        <w:tabs>
          <w:tab w:val="left" w:pos="7513"/>
        </w:tabs>
        <w:suppressAutoHyphens/>
        <w:topLinePunct/>
        <w:autoSpaceDE w:val="0"/>
        <w:adjustRightInd w:val="0"/>
        <w:snapToGrid w:val="0"/>
        <w:spacing w:line="600" w:lineRule="exact"/>
        <w:ind w:firstLine="645"/>
        <w:jc w:val="both"/>
        <w:rPr>
          <w:rFonts w:ascii="仿宋" w:hAnsi="仿宋" w:eastAsia="仿宋" w:cs="仿宋_GB2312"/>
          <w:sz w:val="32"/>
          <w:szCs w:val="32"/>
        </w:rPr>
      </w:pPr>
      <w:r>
        <w:rPr>
          <w:rFonts w:hint="eastAsia" w:ascii="仿宋" w:hAnsi="仿宋" w:eastAsia="仿宋" w:cs="仿宋_GB2312"/>
          <w:sz w:val="32"/>
          <w:szCs w:val="32"/>
        </w:rPr>
        <w:t>（三）公务接待费支出0.00万元，与全年预算持平；较上年增加0.00万元，与上年决算持平。主要是本年无公务接待费用支出。累计接待0批次、0人次。</w:t>
      </w:r>
    </w:p>
    <w:p w14:paraId="64FB34C1">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sz w:val="32"/>
          <w:szCs w:val="32"/>
        </w:rPr>
      </w:pPr>
      <w:bookmarkStart w:id="26" w:name="_Toc256000025"/>
      <w:r>
        <w:rPr>
          <w:rFonts w:hint="eastAsia" w:ascii="黑体" w:hAnsi="黑体" w:eastAsia="黑体"/>
          <w:sz w:val="32"/>
          <w:szCs w:val="32"/>
        </w:rPr>
        <w:t>八、预算绩效情况说明</w:t>
      </w:r>
      <w:bookmarkEnd w:id="26"/>
    </w:p>
    <w:p w14:paraId="7572E491">
      <w:pPr>
        <w:suppressLineNumbers/>
        <w:suppressAutoHyphens/>
        <w:topLinePunct/>
        <w:autoSpaceDE w:val="0"/>
        <w:ind w:firstLine="640" w:firstLineChars="200"/>
        <w:jc w:val="both"/>
        <w:rPr>
          <w:rFonts w:ascii="仿宋" w:hAnsi="仿宋" w:eastAsia="仿宋" w:cs="仿宋"/>
          <w:sz w:val="32"/>
          <w:szCs w:val="32"/>
        </w:rPr>
      </w:pPr>
      <w:bookmarkStart w:id="27" w:name="_Toc256000026"/>
      <w:r>
        <w:rPr>
          <w:rFonts w:hint="eastAsia" w:ascii="仿宋" w:hAnsi="仿宋" w:eastAsia="仿宋"/>
          <w:sz w:val="32"/>
          <w:szCs w:val="32"/>
        </w:rPr>
        <w:t>根据预算绩效管理要求，本单位组织对</w:t>
      </w:r>
      <w:r>
        <w:rPr>
          <w:rFonts w:hint="eastAsia" w:ascii="仿宋" w:hAnsi="仿宋" w:eastAsia="仿宋" w:cs="仿宋_GB2312"/>
          <w:sz w:val="32"/>
          <w:szCs w:val="32"/>
        </w:rPr>
        <w:t>2024</w:t>
      </w:r>
      <w:r>
        <w:rPr>
          <w:rFonts w:hint="eastAsia" w:ascii="仿宋" w:hAnsi="仿宋" w:eastAsia="仿宋" w:cs="仿宋"/>
          <w:sz w:val="32"/>
          <w:szCs w:val="32"/>
        </w:rPr>
        <w:t>年度1个项目实施单位自评。</w:t>
      </w:r>
      <w:r>
        <w:rPr>
          <w:rFonts w:hint="eastAsia" w:ascii="仿宋" w:hAnsi="仿宋" w:eastAsia="仿宋"/>
          <w:sz w:val="32"/>
          <w:szCs w:val="32"/>
        </w:rPr>
        <w:t>分别是区委办公室、保密办工作经费等项目，涉及财政拨款资金共计2.79万元。（《项目支出绩效自评表》详见附件一）</w:t>
      </w:r>
    </w:p>
    <w:p w14:paraId="7C7C07CA">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sz w:val="32"/>
          <w:szCs w:val="32"/>
        </w:rPr>
      </w:pPr>
      <w:r>
        <w:rPr>
          <w:rFonts w:hint="eastAsia" w:ascii="黑体" w:hAnsi="黑体" w:eastAsia="黑体"/>
          <w:sz w:val="32"/>
          <w:szCs w:val="32"/>
        </w:rPr>
        <w:t>九、其他重要事项说明</w:t>
      </w:r>
      <w:bookmarkEnd w:id="27"/>
    </w:p>
    <w:p w14:paraId="1052A2C6">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（一）机关运行经费</w:t>
      </w:r>
    </w:p>
    <w:p w14:paraId="543958A8">
      <w:pPr>
        <w:suppressLineNumbers/>
        <w:tabs>
          <w:tab w:val="left" w:pos="7513"/>
        </w:tabs>
        <w:suppressAutoHyphens/>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rPr>
        <w:t>2024</w:t>
      </w:r>
      <w:r>
        <w:rPr>
          <w:rFonts w:hint="eastAsia" w:ascii="仿宋" w:hAnsi="仿宋" w:eastAsia="仿宋" w:cs="仿宋_GB2312"/>
          <w:sz w:val="32"/>
          <w:szCs w:val="32"/>
        </w:rPr>
        <w:t>年度</w:t>
      </w:r>
      <w:r>
        <w:rPr>
          <w:rFonts w:ascii="仿宋" w:hAnsi="仿宋" w:eastAsia="仿宋" w:cs="仿宋_GB2312"/>
          <w:sz w:val="32"/>
          <w:szCs w:val="32"/>
        </w:rPr>
        <w:t>机关运行经费支出</w:t>
      </w:r>
      <w:r>
        <w:rPr>
          <w:rFonts w:hint="eastAsia" w:ascii="仿宋" w:hAnsi="仿宋" w:eastAsia="仿宋" w:cs="仿宋_GB2312"/>
          <w:sz w:val="32"/>
          <w:szCs w:val="32"/>
        </w:rPr>
        <w:t>0.00</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w:t>
      </w:r>
      <w:r>
        <w:rPr>
          <w:rFonts w:hint="eastAsia" w:ascii="仿宋" w:hAnsi="仿宋" w:eastAsia="仿宋" w:cs="仿宋_GB2312"/>
          <w:kern w:val="0"/>
          <w:sz w:val="32"/>
          <w:szCs w:val="32"/>
        </w:rPr>
        <w:t>增加0.00万元，与上年决算数持平</w:t>
      </w:r>
      <w:r>
        <w:rPr>
          <w:rFonts w:hint="eastAsia" w:ascii="仿宋" w:hAnsi="仿宋" w:eastAsia="仿宋" w:cs="仿宋_GB2312"/>
          <w:sz w:val="32"/>
          <w:szCs w:val="32"/>
        </w:rPr>
        <w:t>。</w:t>
      </w:r>
    </w:p>
    <w:p w14:paraId="1941F2FD">
      <w:pPr>
        <w:suppressLineNumbers/>
        <w:tabs>
          <w:tab w:val="left" w:pos="7513"/>
        </w:tabs>
        <w:suppressAutoHyphens/>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注： 本单位为事业单位没有机关运行经费。</w:t>
      </w:r>
    </w:p>
    <w:p w14:paraId="72589FD7">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（二）政府采购情况</w:t>
      </w:r>
    </w:p>
    <w:p w14:paraId="137C660F">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本单位</w:t>
      </w:r>
      <w:r>
        <w:rPr>
          <w:rFonts w:ascii="仿宋" w:hAnsi="仿宋" w:eastAsia="仿宋" w:cs="仿宋"/>
          <w:sz w:val="32"/>
          <w:u w:color="auto"/>
        </w:rPr>
        <w:t>2024</w:t>
      </w:r>
      <w:r>
        <w:rPr>
          <w:rFonts w:hint="eastAsia" w:ascii="仿宋" w:hAnsi="仿宋" w:eastAsia="仿宋" w:cs="仿宋_GB2312"/>
          <w:sz w:val="32"/>
          <w:szCs w:val="32"/>
        </w:rPr>
        <w:t>年度</w:t>
      </w:r>
      <w:r>
        <w:rPr>
          <w:rFonts w:ascii="仿宋" w:hAnsi="仿宋" w:eastAsia="仿宋" w:cs="仿宋_GB2312"/>
          <w:sz w:val="32"/>
          <w:szCs w:val="32"/>
        </w:rPr>
        <w:t>政府采购支出总额</w:t>
      </w:r>
      <w:r>
        <w:rPr>
          <w:rFonts w:hint="eastAsia" w:ascii="仿宋" w:hAnsi="仿宋" w:eastAsia="仿宋" w:cs="仿宋_GB2312"/>
          <w:sz w:val="32"/>
          <w:szCs w:val="32"/>
        </w:rPr>
        <w:t>0.00万元，其中：政府采购货物支出0.00万元、政府采购工程支出0.00万元、政府采购服务支出0.00万元。授予中小企业合同金额0.00万元，占政府采购支出总额的0.00%，其中：授予小微企业合同金额0.00万元，占授予中小企业合同金额的0.00%；货物采购授予中小企业合同金额占货物支出金额的0.00%，工程采购授予中小企业合同金额占工程支出金额的0.00%，服务采购授予中小企业合同金额占服务支出金额的0.00%。</w:t>
      </w:r>
    </w:p>
    <w:p w14:paraId="7CDC078B">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楷体" w:hAnsi="楷体" w:eastAsia="楷体" w:cs="仿宋_GB2312"/>
          <w:sz w:val="32"/>
          <w:szCs w:val="32"/>
        </w:rPr>
        <w:t>注：本单位</w:t>
      </w:r>
      <w:r>
        <w:rPr>
          <w:rFonts w:ascii="楷体" w:hAnsi="楷体" w:eastAsia="楷体" w:cs="楷体"/>
          <w:sz w:val="32"/>
          <w:u w:color="auto"/>
        </w:rPr>
        <w:t>2024</w:t>
      </w:r>
      <w:r>
        <w:rPr>
          <w:rFonts w:hint="eastAsia" w:ascii="楷体" w:hAnsi="楷体" w:eastAsia="楷体" w:cs="仿宋_GB2312"/>
          <w:sz w:val="32"/>
          <w:szCs w:val="32"/>
        </w:rPr>
        <w:t>年度没有政府采购支出。</w:t>
      </w:r>
    </w:p>
    <w:p w14:paraId="39CB902C">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 xml:space="preserve">（三）国有资产占用使用情况 </w:t>
      </w:r>
    </w:p>
    <w:p w14:paraId="2469310F">
      <w:pPr>
        <w:suppressLineNumbers/>
        <w:tabs>
          <w:tab w:val="left" w:pos="7513"/>
        </w:tabs>
        <w:suppressAutoHyphens/>
        <w:topLinePunct/>
        <w:autoSpaceDE w:val="0"/>
        <w:adjustRightInd w:val="0"/>
        <w:snapToGrid w:val="0"/>
        <w:spacing w:line="600" w:lineRule="exact"/>
        <w:ind w:firstLine="704" w:firstLineChars="220"/>
        <w:jc w:val="both"/>
        <w:rPr>
          <w:rFonts w:ascii="黑体" w:hAnsi="黑体" w:eastAsia="黑体"/>
          <w:sz w:val="36"/>
          <w:szCs w:val="36"/>
        </w:rPr>
      </w:pPr>
      <w:r>
        <w:rPr>
          <w:rFonts w:hint="eastAsia" w:ascii="仿宋" w:hAnsi="仿宋" w:eastAsia="仿宋" w:cs="仿宋_GB2312"/>
          <w:kern w:val="0"/>
          <w:sz w:val="32"/>
          <w:szCs w:val="32"/>
        </w:rPr>
        <w:t>截至</w:t>
      </w:r>
      <w:r>
        <w:rPr>
          <w:rFonts w:hint="eastAsia" w:ascii="仿宋" w:hAnsi="仿宋" w:eastAsia="仿宋"/>
          <w:sz w:val="32"/>
          <w:szCs w:val="32"/>
        </w:rPr>
        <w:t>2024</w:t>
      </w:r>
      <w:r>
        <w:rPr>
          <w:rFonts w:hint="eastAsia" w:ascii="仿宋" w:hAnsi="仿宋" w:eastAsia="仿宋" w:cs="仿宋_GB2312"/>
          <w:kern w:val="0"/>
          <w:sz w:val="32"/>
          <w:szCs w:val="32"/>
        </w:rPr>
        <w:t>年</w:t>
      </w:r>
      <w:r>
        <w:rPr>
          <w:rFonts w:ascii="仿宋" w:hAnsi="仿宋" w:eastAsia="仿宋" w:cs="仿宋_GB2312"/>
          <w:kern w:val="0"/>
          <w:sz w:val="32"/>
          <w:szCs w:val="32"/>
        </w:rPr>
        <w:t>12月31日，本</w:t>
      </w:r>
      <w:r>
        <w:rPr>
          <w:rFonts w:hint="eastAsia" w:ascii="仿宋" w:hAnsi="仿宋" w:eastAsia="仿宋" w:cs="仿宋_GB2312"/>
          <w:kern w:val="0"/>
          <w:sz w:val="32"/>
          <w:szCs w:val="32"/>
        </w:rPr>
        <w:t>单位</w:t>
      </w:r>
      <w:r>
        <w:rPr>
          <w:rFonts w:ascii="仿宋" w:hAnsi="仿宋" w:eastAsia="仿宋" w:cs="仿宋_GB2312"/>
          <w:kern w:val="0"/>
          <w:sz w:val="32"/>
          <w:szCs w:val="32"/>
        </w:rPr>
        <w:t>共有车辆</w:t>
      </w:r>
      <w:r>
        <w:rPr>
          <w:rFonts w:hint="eastAsia" w:ascii="仿宋" w:hAnsi="仿宋" w:eastAsia="仿宋" w:cs="仿宋_GB2312"/>
          <w:sz w:val="32"/>
          <w:szCs w:val="32"/>
        </w:rPr>
        <w:t>0</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0</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rPr>
        <w:t>0</w:t>
      </w:r>
      <w:r>
        <w:rPr>
          <w:rFonts w:hint="eastAsia" w:ascii="仿宋" w:hAnsi="仿宋" w:eastAsia="仿宋" w:cs="仿宋_GB2312"/>
          <w:kern w:val="0"/>
          <w:sz w:val="32"/>
          <w:szCs w:val="32"/>
        </w:rPr>
        <w:t>辆，本单位无其他用车；单位价值100万元以上设备（不含车辆）0台（套）。</w:t>
      </w:r>
      <w:r>
        <w:br w:type="page"/>
      </w:r>
    </w:p>
    <w:p w14:paraId="4816F87C">
      <w:pPr>
        <w:topLinePunct/>
        <w:autoSpaceDE w:val="0"/>
        <w:jc w:val="center"/>
        <w:rPr>
          <w:rFonts w:ascii="黑体" w:hAnsi="黑体" w:eastAsia="黑体"/>
          <w:sz w:val="56"/>
        </w:rPr>
      </w:pPr>
    </w:p>
    <w:p w14:paraId="00E4E69E">
      <w:pPr>
        <w:topLinePunct/>
        <w:autoSpaceDE w:val="0"/>
        <w:jc w:val="center"/>
        <w:rPr>
          <w:rFonts w:ascii="黑体" w:hAnsi="黑体" w:eastAsia="黑体"/>
          <w:sz w:val="56"/>
        </w:rPr>
      </w:pPr>
    </w:p>
    <w:p w14:paraId="79149AAF">
      <w:pPr>
        <w:topLinePunct/>
        <w:autoSpaceDE w:val="0"/>
        <w:jc w:val="center"/>
        <w:rPr>
          <w:rFonts w:ascii="黑体" w:hAnsi="黑体" w:eastAsia="黑体"/>
          <w:sz w:val="56"/>
        </w:rPr>
      </w:pPr>
    </w:p>
    <w:p w14:paraId="4CA4C73E">
      <w:pPr>
        <w:topLinePunct/>
        <w:autoSpaceDE w:val="0"/>
        <w:jc w:val="center"/>
        <w:rPr>
          <w:rFonts w:ascii="黑体" w:hAnsi="黑体" w:eastAsia="黑体"/>
          <w:sz w:val="56"/>
        </w:rPr>
      </w:pPr>
    </w:p>
    <w:p w14:paraId="23E3AF02">
      <w:pPr>
        <w:topLinePunct/>
        <w:autoSpaceDE w:val="0"/>
        <w:jc w:val="center"/>
        <w:rPr>
          <w:rFonts w:ascii="黑体" w:hAnsi="黑体" w:eastAsia="黑体"/>
          <w:sz w:val="56"/>
        </w:rPr>
      </w:pPr>
    </w:p>
    <w:p w14:paraId="67E743D6">
      <w:pPr>
        <w:topLinePunct/>
        <w:autoSpaceDE w:val="0"/>
        <w:jc w:val="left"/>
        <w:outlineLvl w:val="0"/>
        <w:rPr>
          <w:rFonts w:ascii="黑体" w:hAnsi="黑体" w:eastAsia="黑体"/>
          <w:sz w:val="56"/>
        </w:rPr>
      </w:pPr>
      <w:bookmarkStart w:id="28" w:name="_Toc256000027"/>
      <w:r>
        <w:rPr>
          <w:rFonts w:hint="eastAsia" w:ascii="黑体" w:hAnsi="黑体" w:eastAsia="黑体"/>
          <w:sz w:val="56"/>
        </w:rPr>
        <w:t>第四部分</w:t>
      </w:r>
      <w:bookmarkEnd w:id="28"/>
    </w:p>
    <w:p w14:paraId="12B6E121">
      <w:pPr>
        <w:topLinePunct/>
        <w:autoSpaceDE w:val="0"/>
        <w:jc w:val="center"/>
        <w:outlineLvl w:val="0"/>
        <w:rPr>
          <w:rFonts w:ascii="黑体" w:hAnsi="黑体" w:eastAsia="黑体"/>
          <w:sz w:val="56"/>
        </w:rPr>
      </w:pPr>
      <w:bookmarkStart w:id="29" w:name="_Toc256000028"/>
      <w:r>
        <w:rPr>
          <w:rFonts w:hint="eastAsia" w:ascii="黑体" w:hAnsi="黑体" w:eastAsia="黑体"/>
          <w:sz w:val="56"/>
        </w:rPr>
        <w:t>名词解释</w:t>
      </w:r>
      <w:bookmarkEnd w:id="29"/>
    </w:p>
    <w:p w14:paraId="3EA4F162">
      <w:pPr>
        <w:topLinePunct/>
        <w:autoSpaceDE w:val="0"/>
        <w:adjustRightInd w:val="0"/>
        <w:spacing w:line="600" w:lineRule="exact"/>
        <w:ind w:firstLine="640" w:firstLineChars="200"/>
        <w:jc w:val="left"/>
        <w:rPr>
          <w:rFonts w:ascii="仿宋" w:hAnsi="仿宋" w:eastAsia="仿宋" w:cs="仿宋_GB2312"/>
          <w:kern w:val="0"/>
          <w:sz w:val="32"/>
          <w:szCs w:val="32"/>
        </w:rPr>
      </w:pPr>
    </w:p>
    <w:p w14:paraId="0D7D7CFD">
      <w:pPr>
        <w:widowControl/>
        <w:topLinePunct/>
        <w:autoSpaceDE w:val="0"/>
        <w:spacing w:line="240" w:lineRule="auto"/>
        <w:jc w:val="left"/>
        <w:rPr>
          <w:rFonts w:ascii="仿宋" w:hAnsi="仿宋" w:eastAsia="仿宋" w:cs="仿宋"/>
          <w:b/>
          <w:color w:val="000000"/>
          <w:kern w:val="0"/>
          <w:sz w:val="32"/>
          <w:szCs w:val="32"/>
        </w:rPr>
      </w:pPr>
      <w:r>
        <w:rPr>
          <w:rFonts w:ascii="仿宋" w:hAnsi="仿宋" w:eastAsia="仿宋" w:cs="仿宋"/>
          <w:b/>
          <w:color w:val="000000"/>
          <w:kern w:val="0"/>
          <w:sz w:val="32"/>
          <w:szCs w:val="32"/>
        </w:rPr>
        <w:br w:type="page"/>
      </w:r>
    </w:p>
    <w:p w14:paraId="6E979507">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指单位从本级财政部门取得的财政预算资金，包括一般公共预算财政拨款、政府性基金预算财政拨款和国有资本经营预算财政拨款。</w:t>
      </w:r>
    </w:p>
    <w:p w14:paraId="35B6ED81">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045F1BB2">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14:paraId="2C1443E2">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指除上述“财政拨款收入”“事业收入”“上级补助收入”“附属单位上缴收入”“经营收入”等以外取得的各项收入。主要是事业单位固定资产出租收入、存款利息收入等。</w:t>
      </w:r>
    </w:p>
    <w:p w14:paraId="3D0AC4AA">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五、使用非财政拨款结余（含专用结余）：</w:t>
      </w:r>
      <w:r>
        <w:rPr>
          <w:rFonts w:hint="eastAsia" w:ascii="仿宋" w:hAnsi="仿宋" w:eastAsia="仿宋" w:cs="仿宋"/>
          <w:color w:val="000000"/>
          <w:kern w:val="0"/>
          <w:sz w:val="32"/>
          <w:szCs w:val="32"/>
        </w:rPr>
        <w:t xml:space="preserve">指事业单位按照预算管理要求使用非财政拨款结余弥补当年收支差额的金额，以及使用专用结余安排支出的金额。 </w:t>
      </w:r>
    </w:p>
    <w:p w14:paraId="0E816479">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14:paraId="51E6EDA9">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14:paraId="71EC2847">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14:paraId="3AD04C95">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14:paraId="0251362A">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14:paraId="5852E7C0">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14:paraId="3092FDB2">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14:paraId="1B4FB7C6">
      <w:pPr>
        <w:topLinePunct/>
        <w:autoSpaceDE w:val="0"/>
        <w:ind w:firstLine="643" w:firstLineChars="200"/>
        <w:jc w:val="both"/>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622FAD7D">
      <w:pPr>
        <w:widowControl/>
        <w:topLinePunct/>
        <w:autoSpaceDE w:val="0"/>
        <w:spacing w:line="240" w:lineRule="auto"/>
        <w:jc w:val="left"/>
        <w:rPr>
          <w:rFonts w:ascii="黑体" w:hAnsi="黑体" w:eastAsia="黑体"/>
          <w:sz w:val="36"/>
          <w:szCs w:val="36"/>
        </w:rPr>
      </w:pPr>
      <w:r>
        <w:rPr>
          <w:rFonts w:ascii="黑体" w:hAnsi="黑体" w:eastAsia="黑体"/>
          <w:sz w:val="36"/>
          <w:szCs w:val="36"/>
        </w:rPr>
        <w:br w:type="page"/>
      </w:r>
    </w:p>
    <w:p w14:paraId="5F55A6E2">
      <w:pPr>
        <w:topLinePunct/>
        <w:autoSpaceDE w:val="0"/>
        <w:jc w:val="center"/>
        <w:rPr>
          <w:rFonts w:ascii="黑体" w:hAnsi="黑体" w:eastAsia="黑体"/>
          <w:sz w:val="56"/>
        </w:rPr>
      </w:pPr>
    </w:p>
    <w:p w14:paraId="0231EA9B">
      <w:pPr>
        <w:topLinePunct/>
        <w:autoSpaceDE w:val="0"/>
        <w:jc w:val="center"/>
        <w:rPr>
          <w:rFonts w:ascii="黑体" w:hAnsi="黑体" w:eastAsia="黑体"/>
          <w:sz w:val="56"/>
        </w:rPr>
      </w:pPr>
    </w:p>
    <w:p w14:paraId="721685A2">
      <w:pPr>
        <w:topLinePunct/>
        <w:autoSpaceDE w:val="0"/>
        <w:jc w:val="center"/>
        <w:rPr>
          <w:rFonts w:ascii="黑体" w:hAnsi="黑体" w:eastAsia="黑体"/>
          <w:sz w:val="56"/>
        </w:rPr>
      </w:pPr>
    </w:p>
    <w:p w14:paraId="1A3036A3">
      <w:pPr>
        <w:topLinePunct/>
        <w:autoSpaceDE w:val="0"/>
        <w:jc w:val="center"/>
        <w:rPr>
          <w:rFonts w:ascii="黑体" w:hAnsi="黑体" w:eastAsia="黑体"/>
          <w:sz w:val="56"/>
        </w:rPr>
      </w:pPr>
    </w:p>
    <w:p w14:paraId="0C8DCDFB">
      <w:pPr>
        <w:topLinePunct/>
        <w:autoSpaceDE w:val="0"/>
        <w:jc w:val="center"/>
        <w:rPr>
          <w:rFonts w:ascii="黑体" w:hAnsi="黑体" w:eastAsia="黑体"/>
          <w:sz w:val="56"/>
        </w:rPr>
      </w:pPr>
    </w:p>
    <w:p w14:paraId="5BD1EA65">
      <w:pPr>
        <w:topLinePunct/>
        <w:autoSpaceDE w:val="0"/>
        <w:jc w:val="left"/>
        <w:outlineLvl w:val="0"/>
        <w:rPr>
          <w:rFonts w:ascii="黑体" w:hAnsi="黑体" w:eastAsia="黑体"/>
          <w:sz w:val="56"/>
        </w:rPr>
      </w:pPr>
      <w:bookmarkStart w:id="30" w:name="_Toc256000029"/>
      <w:r>
        <w:rPr>
          <w:rFonts w:hint="eastAsia" w:ascii="黑体" w:hAnsi="黑体" w:eastAsia="黑体"/>
          <w:sz w:val="56"/>
        </w:rPr>
        <w:t>第五部分</w:t>
      </w:r>
      <w:bookmarkEnd w:id="30"/>
    </w:p>
    <w:p w14:paraId="66D755BD">
      <w:pPr>
        <w:topLinePunct/>
        <w:autoSpaceDE w:val="0"/>
        <w:jc w:val="center"/>
        <w:outlineLvl w:val="1"/>
        <w:rPr>
          <w:rFonts w:ascii="黑体" w:hAnsi="黑体" w:eastAsia="黑体"/>
          <w:sz w:val="56"/>
        </w:rPr>
      </w:pPr>
      <w:bookmarkStart w:id="31" w:name="_Toc256000030"/>
      <w:r>
        <w:rPr>
          <w:rFonts w:hint="eastAsia" w:ascii="黑体" w:hAnsi="黑体" w:eastAsia="黑体"/>
          <w:sz w:val="56"/>
        </w:rPr>
        <w:t>附件</w:t>
      </w:r>
      <w:bookmarkEnd w:id="31"/>
    </w:p>
    <w:p w14:paraId="59D6D834">
      <w:pPr>
        <w:widowControl/>
        <w:topLinePunct/>
        <w:autoSpaceDE w:val="0"/>
        <w:spacing w:line="240" w:lineRule="auto"/>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sz w:val="32"/>
          <w:szCs w:val="32"/>
        </w:rPr>
        <w:br w:type="page"/>
      </w:r>
    </w:p>
    <w:p w14:paraId="2D71FC33">
      <w:pPr>
        <w:widowControl/>
        <w:overflowPunct w:val="0"/>
        <w:autoSpaceDE w:val="0"/>
        <w:autoSpaceDN w:val="0"/>
        <w:spacing w:line="240" w:lineRule="auto"/>
        <w:jc w:val="left"/>
        <w:rPr>
          <w:rFonts w:ascii="黑体" w:hAnsi="黑体" w:eastAsia="黑体"/>
          <w:sz w:val="32"/>
          <w:szCs w:val="32"/>
        </w:rPr>
      </w:pPr>
      <w:r>
        <w:rPr>
          <w:rFonts w:hint="eastAsia" w:ascii="黑体" w:hAnsi="黑体" w:eastAsia="黑体"/>
          <w:sz w:val="32"/>
          <w:szCs w:val="32"/>
        </w:rPr>
        <w:t>一、项目支出绩效自评表</w:t>
      </w:r>
    </w:p>
    <w:tbl>
      <w:tblPr>
        <w:tblStyle w:val="11"/>
        <w:tblW w:w="13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928"/>
        <w:gridCol w:w="1385"/>
        <w:gridCol w:w="1633"/>
        <w:gridCol w:w="1007"/>
        <w:gridCol w:w="616"/>
        <w:gridCol w:w="912"/>
        <w:gridCol w:w="912"/>
        <w:gridCol w:w="766"/>
        <w:gridCol w:w="766"/>
        <w:gridCol w:w="3770"/>
      </w:tblGrid>
      <w:tr w14:paraId="7464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876" w:type="dxa"/>
            <w:gridSpan w:val="11"/>
            <w:shd w:val="clear" w:color="auto" w:fill="auto"/>
            <w:vAlign w:val="center"/>
          </w:tcPr>
          <w:p w14:paraId="5D29EA31">
            <w:pPr>
              <w:jc w:val="center"/>
            </w:pPr>
            <w:r>
              <w:rPr>
                <w:b/>
                <w:i w:val="0"/>
                <w:color w:val="auto"/>
                <w:sz w:val="36"/>
              </w:rPr>
              <w:t>项目支出绩效自评表</w:t>
            </w:r>
          </w:p>
        </w:tc>
      </w:tr>
      <w:tr w14:paraId="7340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76" w:type="dxa"/>
            <w:gridSpan w:val="11"/>
            <w:shd w:val="clear" w:color="auto" w:fill="auto"/>
            <w:vAlign w:val="center"/>
          </w:tcPr>
          <w:p w14:paraId="685E500A">
            <w:pPr>
              <w:jc w:val="center"/>
            </w:pPr>
            <w:r>
              <w:rPr>
                <w:b w:val="0"/>
                <w:i w:val="0"/>
                <w:color w:val="auto"/>
                <w:sz w:val="24"/>
              </w:rPr>
              <w:t>（2024年度）</w:t>
            </w:r>
          </w:p>
        </w:tc>
      </w:tr>
      <w:tr w14:paraId="2336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94" w:type="dxa"/>
            <w:gridSpan w:val="3"/>
            <w:shd w:val="clear" w:color="auto" w:fill="auto"/>
            <w:vAlign w:val="center"/>
          </w:tcPr>
          <w:p w14:paraId="43FB29AE">
            <w:pPr>
              <w:jc w:val="center"/>
            </w:pPr>
            <w:r>
              <w:rPr>
                <w:b w:val="0"/>
                <w:i w:val="0"/>
                <w:color w:val="auto"/>
                <w:sz w:val="24"/>
              </w:rPr>
              <w:t>项目名称</w:t>
            </w:r>
          </w:p>
        </w:tc>
        <w:tc>
          <w:tcPr>
            <w:tcW w:w="10382" w:type="dxa"/>
            <w:gridSpan w:val="8"/>
            <w:shd w:val="clear" w:color="auto" w:fill="auto"/>
            <w:vAlign w:val="center"/>
          </w:tcPr>
          <w:p w14:paraId="47D9742D">
            <w:pPr>
              <w:jc w:val="center"/>
            </w:pPr>
            <w:r>
              <w:rPr>
                <w:b w:val="0"/>
                <w:i w:val="0"/>
                <w:color w:val="auto"/>
                <w:sz w:val="24"/>
              </w:rPr>
              <w:t>区委办公室、保密办工作经费</w:t>
            </w:r>
          </w:p>
        </w:tc>
      </w:tr>
      <w:tr w14:paraId="663C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94" w:type="dxa"/>
            <w:gridSpan w:val="3"/>
            <w:shd w:val="clear" w:color="auto" w:fill="auto"/>
            <w:vAlign w:val="center"/>
          </w:tcPr>
          <w:p w14:paraId="43F09017">
            <w:pPr>
              <w:jc w:val="center"/>
            </w:pPr>
            <w:r>
              <w:rPr>
                <w:b w:val="0"/>
                <w:i w:val="0"/>
                <w:color w:val="auto"/>
                <w:sz w:val="24"/>
              </w:rPr>
              <w:t>主管部门</w:t>
            </w:r>
          </w:p>
        </w:tc>
        <w:tc>
          <w:tcPr>
            <w:tcW w:w="3256" w:type="dxa"/>
            <w:gridSpan w:val="3"/>
            <w:shd w:val="clear" w:color="auto" w:fill="auto"/>
            <w:vAlign w:val="center"/>
          </w:tcPr>
          <w:p w14:paraId="15DBAFF7">
            <w:pPr>
              <w:jc w:val="center"/>
            </w:pPr>
            <w:r>
              <w:rPr>
                <w:b w:val="0"/>
                <w:i w:val="0"/>
                <w:color w:val="auto"/>
                <w:sz w:val="24"/>
              </w:rPr>
              <w:t>中共福州市台江区委办公室</w:t>
            </w:r>
          </w:p>
        </w:tc>
        <w:tc>
          <w:tcPr>
            <w:tcW w:w="1824" w:type="dxa"/>
            <w:gridSpan w:val="2"/>
            <w:shd w:val="clear" w:color="auto" w:fill="auto"/>
            <w:vAlign w:val="center"/>
          </w:tcPr>
          <w:p w14:paraId="376A9DA0">
            <w:pPr>
              <w:jc w:val="center"/>
            </w:pPr>
            <w:r>
              <w:rPr>
                <w:b w:val="0"/>
                <w:i w:val="0"/>
                <w:color w:val="auto"/>
                <w:sz w:val="24"/>
              </w:rPr>
              <w:t>实施单位</w:t>
            </w:r>
          </w:p>
        </w:tc>
        <w:tc>
          <w:tcPr>
            <w:tcW w:w="5302" w:type="dxa"/>
            <w:gridSpan w:val="3"/>
            <w:shd w:val="clear" w:color="auto" w:fill="auto"/>
            <w:vAlign w:val="center"/>
          </w:tcPr>
          <w:p w14:paraId="1E047A0D">
            <w:pPr>
              <w:jc w:val="center"/>
            </w:pPr>
            <w:r>
              <w:rPr>
                <w:b w:val="0"/>
                <w:i w:val="0"/>
                <w:color w:val="auto"/>
                <w:sz w:val="24"/>
              </w:rPr>
              <w:t>福州市台江区保密技术检查中心</w:t>
            </w:r>
          </w:p>
        </w:tc>
      </w:tr>
      <w:tr w14:paraId="6CF1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restart"/>
            <w:shd w:val="clear" w:color="auto" w:fill="auto"/>
            <w:vAlign w:val="center"/>
          </w:tcPr>
          <w:p w14:paraId="305E5A38">
            <w:pPr>
              <w:jc w:val="center"/>
            </w:pPr>
            <w:r>
              <w:rPr>
                <w:b w:val="0"/>
                <w:i w:val="0"/>
                <w:color w:val="auto"/>
                <w:sz w:val="24"/>
              </w:rPr>
              <w:t>项目资金(万元)</w:t>
            </w:r>
          </w:p>
        </w:tc>
        <w:tc>
          <w:tcPr>
            <w:tcW w:w="2313" w:type="dxa"/>
            <w:gridSpan w:val="2"/>
            <w:shd w:val="clear" w:color="auto" w:fill="auto"/>
            <w:vAlign w:val="center"/>
          </w:tcPr>
          <w:p w14:paraId="18271CEA">
            <w:pPr>
              <w:jc w:val="center"/>
            </w:pPr>
          </w:p>
        </w:tc>
        <w:tc>
          <w:tcPr>
            <w:tcW w:w="1633" w:type="dxa"/>
            <w:shd w:val="clear" w:color="auto" w:fill="auto"/>
            <w:vAlign w:val="center"/>
          </w:tcPr>
          <w:p w14:paraId="469B5BA4">
            <w:pPr>
              <w:jc w:val="center"/>
            </w:pPr>
            <w:r>
              <w:rPr>
                <w:b w:val="0"/>
                <w:i w:val="0"/>
                <w:color w:val="auto"/>
                <w:sz w:val="24"/>
              </w:rPr>
              <w:t>年初预算数</w:t>
            </w:r>
          </w:p>
        </w:tc>
        <w:tc>
          <w:tcPr>
            <w:tcW w:w="1623" w:type="dxa"/>
            <w:gridSpan w:val="2"/>
            <w:shd w:val="clear" w:color="auto" w:fill="auto"/>
            <w:vAlign w:val="center"/>
          </w:tcPr>
          <w:p w14:paraId="4E0DC7E2">
            <w:pPr>
              <w:jc w:val="center"/>
            </w:pPr>
            <w:r>
              <w:rPr>
                <w:b w:val="0"/>
                <w:i w:val="0"/>
                <w:color w:val="auto"/>
                <w:sz w:val="24"/>
              </w:rPr>
              <w:t>全年预算数</w:t>
            </w:r>
          </w:p>
        </w:tc>
        <w:tc>
          <w:tcPr>
            <w:tcW w:w="912" w:type="dxa"/>
            <w:shd w:val="clear" w:color="auto" w:fill="auto"/>
            <w:vAlign w:val="center"/>
          </w:tcPr>
          <w:p w14:paraId="23884FFC">
            <w:pPr>
              <w:jc w:val="center"/>
            </w:pPr>
            <w:r>
              <w:rPr>
                <w:b w:val="0"/>
                <w:i w:val="0"/>
                <w:color w:val="auto"/>
                <w:sz w:val="24"/>
              </w:rPr>
              <w:t>全年执行数</w:t>
            </w:r>
          </w:p>
        </w:tc>
        <w:tc>
          <w:tcPr>
            <w:tcW w:w="912" w:type="dxa"/>
            <w:shd w:val="clear" w:color="auto" w:fill="auto"/>
            <w:vAlign w:val="center"/>
          </w:tcPr>
          <w:p w14:paraId="51084968">
            <w:pPr>
              <w:jc w:val="center"/>
            </w:pPr>
            <w:r>
              <w:rPr>
                <w:b w:val="0"/>
                <w:i w:val="0"/>
                <w:color w:val="auto"/>
                <w:sz w:val="24"/>
              </w:rPr>
              <w:t>分值</w:t>
            </w:r>
          </w:p>
        </w:tc>
        <w:tc>
          <w:tcPr>
            <w:tcW w:w="1532" w:type="dxa"/>
            <w:gridSpan w:val="2"/>
            <w:shd w:val="clear" w:color="auto" w:fill="auto"/>
            <w:vAlign w:val="center"/>
          </w:tcPr>
          <w:p w14:paraId="0A551C96">
            <w:pPr>
              <w:jc w:val="center"/>
            </w:pPr>
            <w:r>
              <w:rPr>
                <w:b w:val="0"/>
                <w:i w:val="0"/>
                <w:color w:val="auto"/>
                <w:sz w:val="24"/>
              </w:rPr>
              <w:t>执行率</w:t>
            </w:r>
          </w:p>
        </w:tc>
        <w:tc>
          <w:tcPr>
            <w:tcW w:w="3770" w:type="dxa"/>
            <w:shd w:val="clear" w:color="auto" w:fill="auto"/>
            <w:vAlign w:val="center"/>
          </w:tcPr>
          <w:p w14:paraId="17D69685">
            <w:pPr>
              <w:jc w:val="center"/>
            </w:pPr>
            <w:r>
              <w:rPr>
                <w:b w:val="0"/>
                <w:i w:val="0"/>
                <w:color w:val="auto"/>
                <w:sz w:val="24"/>
              </w:rPr>
              <w:t>得分</w:t>
            </w:r>
          </w:p>
        </w:tc>
      </w:tr>
      <w:tr w14:paraId="048D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vMerge w:val="continue"/>
            <w:shd w:val="clear" w:color="auto" w:fill="auto"/>
            <w:vAlign w:val="center"/>
          </w:tcPr>
          <w:p w14:paraId="46A891AD">
            <w:pPr>
              <w:jc w:val="center"/>
            </w:pPr>
          </w:p>
        </w:tc>
        <w:tc>
          <w:tcPr>
            <w:tcW w:w="2313" w:type="dxa"/>
            <w:gridSpan w:val="2"/>
            <w:shd w:val="clear" w:color="auto" w:fill="auto"/>
            <w:vAlign w:val="center"/>
          </w:tcPr>
          <w:p w14:paraId="06D5ED62">
            <w:pPr>
              <w:jc w:val="left"/>
            </w:pPr>
            <w:r>
              <w:rPr>
                <w:b w:val="0"/>
                <w:i w:val="0"/>
                <w:color w:val="auto"/>
                <w:sz w:val="24"/>
              </w:rPr>
              <w:t>年度资金总额</w:t>
            </w:r>
          </w:p>
        </w:tc>
        <w:tc>
          <w:tcPr>
            <w:tcW w:w="1633" w:type="dxa"/>
            <w:shd w:val="clear" w:color="auto" w:fill="auto"/>
            <w:vAlign w:val="center"/>
          </w:tcPr>
          <w:p w14:paraId="3757C146">
            <w:pPr>
              <w:jc w:val="center"/>
            </w:pPr>
            <w:r>
              <w:rPr>
                <w:b w:val="0"/>
                <w:i w:val="0"/>
                <w:color w:val="auto"/>
                <w:sz w:val="24"/>
              </w:rPr>
              <w:t>0.00</w:t>
            </w:r>
          </w:p>
        </w:tc>
        <w:tc>
          <w:tcPr>
            <w:tcW w:w="1623" w:type="dxa"/>
            <w:gridSpan w:val="2"/>
            <w:shd w:val="clear" w:color="auto" w:fill="auto"/>
            <w:vAlign w:val="center"/>
          </w:tcPr>
          <w:p w14:paraId="054C5A33">
            <w:pPr>
              <w:jc w:val="center"/>
            </w:pPr>
            <w:r>
              <w:rPr>
                <w:b w:val="0"/>
                <w:i w:val="0"/>
                <w:color w:val="auto"/>
                <w:sz w:val="24"/>
              </w:rPr>
              <w:t>2.79</w:t>
            </w:r>
          </w:p>
        </w:tc>
        <w:tc>
          <w:tcPr>
            <w:tcW w:w="912" w:type="dxa"/>
            <w:shd w:val="clear" w:color="auto" w:fill="auto"/>
            <w:vAlign w:val="center"/>
          </w:tcPr>
          <w:p w14:paraId="3FEB84B3">
            <w:pPr>
              <w:jc w:val="center"/>
            </w:pPr>
            <w:r>
              <w:rPr>
                <w:b w:val="0"/>
                <w:i w:val="0"/>
                <w:color w:val="auto"/>
                <w:sz w:val="24"/>
              </w:rPr>
              <w:t>2.79</w:t>
            </w:r>
          </w:p>
        </w:tc>
        <w:tc>
          <w:tcPr>
            <w:tcW w:w="912" w:type="dxa"/>
            <w:shd w:val="clear" w:color="auto" w:fill="auto"/>
            <w:vAlign w:val="center"/>
          </w:tcPr>
          <w:p w14:paraId="6EE17579">
            <w:pPr>
              <w:jc w:val="center"/>
            </w:pPr>
            <w:r>
              <w:rPr>
                <w:b w:val="0"/>
                <w:i w:val="0"/>
                <w:color w:val="auto"/>
                <w:sz w:val="24"/>
              </w:rPr>
              <w:t>10</w:t>
            </w:r>
          </w:p>
        </w:tc>
        <w:tc>
          <w:tcPr>
            <w:tcW w:w="1532" w:type="dxa"/>
            <w:gridSpan w:val="2"/>
            <w:shd w:val="clear" w:color="auto" w:fill="auto"/>
            <w:vAlign w:val="center"/>
          </w:tcPr>
          <w:p w14:paraId="5483D107">
            <w:pPr>
              <w:jc w:val="center"/>
            </w:pPr>
            <w:r>
              <w:rPr>
                <w:b w:val="0"/>
                <w:i w:val="0"/>
                <w:color w:val="auto"/>
                <w:sz w:val="24"/>
              </w:rPr>
              <w:t>100.00</w:t>
            </w:r>
          </w:p>
        </w:tc>
        <w:tc>
          <w:tcPr>
            <w:tcW w:w="3770" w:type="dxa"/>
            <w:shd w:val="clear" w:color="auto" w:fill="auto"/>
            <w:vAlign w:val="center"/>
          </w:tcPr>
          <w:p w14:paraId="258AC833">
            <w:pPr>
              <w:jc w:val="center"/>
            </w:pPr>
            <w:r>
              <w:rPr>
                <w:b w:val="0"/>
                <w:i w:val="0"/>
                <w:color w:val="auto"/>
                <w:sz w:val="24"/>
              </w:rPr>
              <w:t>10</w:t>
            </w:r>
          </w:p>
        </w:tc>
      </w:tr>
      <w:tr w14:paraId="4CA6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6F883830">
            <w:pPr>
              <w:jc w:val="center"/>
            </w:pPr>
          </w:p>
        </w:tc>
        <w:tc>
          <w:tcPr>
            <w:tcW w:w="2313" w:type="dxa"/>
            <w:gridSpan w:val="2"/>
            <w:shd w:val="clear" w:color="auto" w:fill="auto"/>
            <w:vAlign w:val="center"/>
          </w:tcPr>
          <w:p w14:paraId="369DB155">
            <w:pPr>
              <w:jc w:val="left"/>
            </w:pPr>
            <w:r>
              <w:rPr>
                <w:b w:val="0"/>
                <w:i w:val="0"/>
                <w:color w:val="auto"/>
                <w:sz w:val="24"/>
              </w:rPr>
              <w:t>其中：当年财政拨款</w:t>
            </w:r>
          </w:p>
        </w:tc>
        <w:tc>
          <w:tcPr>
            <w:tcW w:w="1633" w:type="dxa"/>
            <w:shd w:val="clear" w:color="auto" w:fill="auto"/>
            <w:vAlign w:val="center"/>
          </w:tcPr>
          <w:p w14:paraId="0DC4019E">
            <w:pPr>
              <w:jc w:val="center"/>
            </w:pPr>
            <w:r>
              <w:rPr>
                <w:b w:val="0"/>
                <w:i w:val="0"/>
                <w:color w:val="auto"/>
                <w:sz w:val="24"/>
              </w:rPr>
              <w:t>0.00</w:t>
            </w:r>
          </w:p>
        </w:tc>
        <w:tc>
          <w:tcPr>
            <w:tcW w:w="1623" w:type="dxa"/>
            <w:gridSpan w:val="2"/>
            <w:shd w:val="clear" w:color="auto" w:fill="auto"/>
            <w:vAlign w:val="center"/>
          </w:tcPr>
          <w:p w14:paraId="3EEF551B">
            <w:pPr>
              <w:jc w:val="center"/>
            </w:pPr>
            <w:r>
              <w:rPr>
                <w:b w:val="0"/>
                <w:i w:val="0"/>
                <w:color w:val="auto"/>
                <w:sz w:val="24"/>
              </w:rPr>
              <w:t>2.79</w:t>
            </w:r>
          </w:p>
        </w:tc>
        <w:tc>
          <w:tcPr>
            <w:tcW w:w="912" w:type="dxa"/>
            <w:shd w:val="clear" w:color="auto" w:fill="auto"/>
            <w:vAlign w:val="center"/>
          </w:tcPr>
          <w:p w14:paraId="35BBC527">
            <w:pPr>
              <w:jc w:val="center"/>
            </w:pPr>
            <w:r>
              <w:rPr>
                <w:b w:val="0"/>
                <w:i w:val="0"/>
                <w:color w:val="auto"/>
                <w:sz w:val="24"/>
              </w:rPr>
              <w:t>2.79</w:t>
            </w:r>
          </w:p>
        </w:tc>
        <w:tc>
          <w:tcPr>
            <w:tcW w:w="912" w:type="dxa"/>
            <w:shd w:val="clear" w:color="auto" w:fill="auto"/>
            <w:vAlign w:val="center"/>
          </w:tcPr>
          <w:p w14:paraId="59DAE8E6">
            <w:pPr>
              <w:jc w:val="center"/>
            </w:pPr>
            <w:r>
              <w:rPr>
                <w:b w:val="0"/>
                <w:i w:val="0"/>
                <w:color w:val="auto"/>
                <w:sz w:val="22"/>
              </w:rPr>
              <w:t>—</w:t>
            </w:r>
          </w:p>
        </w:tc>
        <w:tc>
          <w:tcPr>
            <w:tcW w:w="1532" w:type="dxa"/>
            <w:gridSpan w:val="2"/>
            <w:shd w:val="clear" w:color="auto" w:fill="auto"/>
            <w:vAlign w:val="center"/>
          </w:tcPr>
          <w:p w14:paraId="110760DF">
            <w:pPr>
              <w:jc w:val="center"/>
            </w:pPr>
            <w:r>
              <w:rPr>
                <w:b w:val="0"/>
                <w:i w:val="0"/>
                <w:color w:val="auto"/>
                <w:sz w:val="24"/>
              </w:rPr>
              <w:t>100.00</w:t>
            </w:r>
          </w:p>
        </w:tc>
        <w:tc>
          <w:tcPr>
            <w:tcW w:w="3770" w:type="dxa"/>
            <w:shd w:val="clear" w:color="auto" w:fill="auto"/>
            <w:vAlign w:val="center"/>
          </w:tcPr>
          <w:p w14:paraId="2D1E4B71">
            <w:pPr>
              <w:jc w:val="center"/>
            </w:pPr>
          </w:p>
        </w:tc>
      </w:tr>
      <w:tr w14:paraId="0BDF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5F1E9097">
            <w:pPr>
              <w:jc w:val="center"/>
            </w:pPr>
          </w:p>
        </w:tc>
        <w:tc>
          <w:tcPr>
            <w:tcW w:w="2313" w:type="dxa"/>
            <w:gridSpan w:val="2"/>
            <w:shd w:val="clear" w:color="auto" w:fill="auto"/>
            <w:vAlign w:val="center"/>
          </w:tcPr>
          <w:p w14:paraId="61B796F6">
            <w:pPr>
              <w:jc w:val="left"/>
            </w:pPr>
            <w:r>
              <w:rPr>
                <w:b w:val="0"/>
                <w:i w:val="0"/>
                <w:color w:val="auto"/>
                <w:sz w:val="24"/>
              </w:rPr>
              <w:t>其他资金</w:t>
            </w:r>
          </w:p>
        </w:tc>
        <w:tc>
          <w:tcPr>
            <w:tcW w:w="1633" w:type="dxa"/>
            <w:shd w:val="clear" w:color="auto" w:fill="auto"/>
            <w:vAlign w:val="center"/>
          </w:tcPr>
          <w:p w14:paraId="64184071">
            <w:pPr>
              <w:jc w:val="center"/>
            </w:pPr>
            <w:r>
              <w:rPr>
                <w:b w:val="0"/>
                <w:i w:val="0"/>
                <w:color w:val="auto"/>
                <w:sz w:val="24"/>
              </w:rPr>
              <w:t>0.00</w:t>
            </w:r>
          </w:p>
        </w:tc>
        <w:tc>
          <w:tcPr>
            <w:tcW w:w="1623" w:type="dxa"/>
            <w:gridSpan w:val="2"/>
            <w:shd w:val="clear" w:color="auto" w:fill="auto"/>
            <w:vAlign w:val="center"/>
          </w:tcPr>
          <w:p w14:paraId="39AA5BA1">
            <w:pPr>
              <w:jc w:val="center"/>
            </w:pPr>
            <w:r>
              <w:rPr>
                <w:b w:val="0"/>
                <w:i w:val="0"/>
                <w:color w:val="auto"/>
                <w:sz w:val="24"/>
              </w:rPr>
              <w:t>0.00</w:t>
            </w:r>
          </w:p>
        </w:tc>
        <w:tc>
          <w:tcPr>
            <w:tcW w:w="912" w:type="dxa"/>
            <w:shd w:val="clear" w:color="auto" w:fill="auto"/>
            <w:vAlign w:val="center"/>
          </w:tcPr>
          <w:p w14:paraId="49EE4928">
            <w:pPr>
              <w:jc w:val="center"/>
            </w:pPr>
            <w:r>
              <w:rPr>
                <w:b w:val="0"/>
                <w:i w:val="0"/>
                <w:color w:val="auto"/>
                <w:sz w:val="24"/>
              </w:rPr>
              <w:t>0.00</w:t>
            </w:r>
          </w:p>
        </w:tc>
        <w:tc>
          <w:tcPr>
            <w:tcW w:w="912" w:type="dxa"/>
            <w:shd w:val="clear" w:color="auto" w:fill="auto"/>
            <w:vAlign w:val="center"/>
          </w:tcPr>
          <w:p w14:paraId="4CB56759">
            <w:pPr>
              <w:jc w:val="center"/>
            </w:pPr>
            <w:r>
              <w:rPr>
                <w:b w:val="0"/>
                <w:i w:val="0"/>
                <w:color w:val="auto"/>
                <w:sz w:val="24"/>
              </w:rPr>
              <w:t>—</w:t>
            </w:r>
          </w:p>
        </w:tc>
        <w:tc>
          <w:tcPr>
            <w:tcW w:w="1532" w:type="dxa"/>
            <w:gridSpan w:val="2"/>
            <w:shd w:val="clear" w:color="auto" w:fill="auto"/>
            <w:vAlign w:val="center"/>
          </w:tcPr>
          <w:p w14:paraId="3895EECE">
            <w:pPr>
              <w:jc w:val="center"/>
            </w:pPr>
            <w:r>
              <w:rPr>
                <w:b w:val="0"/>
                <w:i w:val="0"/>
                <w:color w:val="auto"/>
                <w:sz w:val="24"/>
              </w:rPr>
              <w:t>0.00</w:t>
            </w:r>
          </w:p>
        </w:tc>
        <w:tc>
          <w:tcPr>
            <w:tcW w:w="3770" w:type="dxa"/>
            <w:shd w:val="clear" w:color="auto" w:fill="auto"/>
            <w:vAlign w:val="center"/>
          </w:tcPr>
          <w:p w14:paraId="7BE27DDE">
            <w:pPr>
              <w:jc w:val="center"/>
            </w:pPr>
          </w:p>
        </w:tc>
      </w:tr>
      <w:tr w14:paraId="44C5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restart"/>
            <w:shd w:val="clear" w:color="auto" w:fill="auto"/>
            <w:vAlign w:val="center"/>
          </w:tcPr>
          <w:p w14:paraId="5DBB2FB0">
            <w:pPr>
              <w:jc w:val="center"/>
            </w:pPr>
            <w:r>
              <w:rPr>
                <w:b w:val="0"/>
                <w:i w:val="0"/>
                <w:color w:val="auto"/>
                <w:sz w:val="24"/>
              </w:rPr>
              <w:t>年度总体目标</w:t>
            </w:r>
          </w:p>
        </w:tc>
        <w:tc>
          <w:tcPr>
            <w:tcW w:w="5569" w:type="dxa"/>
            <w:gridSpan w:val="5"/>
            <w:shd w:val="clear" w:color="auto" w:fill="auto"/>
            <w:vAlign w:val="center"/>
          </w:tcPr>
          <w:p w14:paraId="68A1AF39">
            <w:pPr>
              <w:jc w:val="center"/>
            </w:pPr>
            <w:r>
              <w:rPr>
                <w:b w:val="0"/>
                <w:i w:val="0"/>
                <w:color w:val="auto"/>
                <w:sz w:val="24"/>
              </w:rPr>
              <w:t>预期目标</w:t>
            </w:r>
          </w:p>
        </w:tc>
        <w:tc>
          <w:tcPr>
            <w:tcW w:w="7126" w:type="dxa"/>
            <w:gridSpan w:val="5"/>
            <w:shd w:val="clear" w:color="auto" w:fill="auto"/>
            <w:vAlign w:val="center"/>
          </w:tcPr>
          <w:p w14:paraId="0C7E78BE">
            <w:pPr>
              <w:jc w:val="center"/>
            </w:pPr>
            <w:r>
              <w:rPr>
                <w:b w:val="0"/>
                <w:i w:val="0"/>
                <w:color w:val="auto"/>
                <w:sz w:val="24"/>
              </w:rPr>
              <w:t>实际完成情况</w:t>
            </w:r>
          </w:p>
        </w:tc>
      </w:tr>
      <w:tr w14:paraId="6348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81" w:type="dxa"/>
            <w:vMerge w:val="continue"/>
            <w:shd w:val="clear" w:color="auto" w:fill="auto"/>
            <w:vAlign w:val="center"/>
          </w:tcPr>
          <w:p w14:paraId="7EB37316">
            <w:pPr>
              <w:jc w:val="center"/>
            </w:pPr>
          </w:p>
        </w:tc>
        <w:tc>
          <w:tcPr>
            <w:tcW w:w="5569" w:type="dxa"/>
            <w:gridSpan w:val="5"/>
            <w:shd w:val="clear" w:color="auto" w:fill="auto"/>
          </w:tcPr>
          <w:p w14:paraId="4FE7B91E">
            <w:pPr>
              <w:jc w:val="left"/>
            </w:pPr>
            <w:r>
              <w:rPr>
                <w:b w:val="0"/>
                <w:i w:val="0"/>
                <w:color w:val="auto"/>
                <w:sz w:val="24"/>
              </w:rPr>
              <w:t>围绕市委和区委中心工作，做好服务工作，保障区保密技术检查中心工作圆满完成。</w:t>
            </w:r>
          </w:p>
        </w:tc>
        <w:tc>
          <w:tcPr>
            <w:tcW w:w="7126" w:type="dxa"/>
            <w:gridSpan w:val="5"/>
            <w:shd w:val="clear" w:color="auto" w:fill="auto"/>
          </w:tcPr>
          <w:p w14:paraId="09CF9BAF">
            <w:pPr>
              <w:jc w:val="left"/>
            </w:pPr>
            <w:r>
              <w:rPr>
                <w:b w:val="0"/>
                <w:i w:val="0"/>
                <w:color w:val="auto"/>
                <w:sz w:val="24"/>
              </w:rPr>
              <w:t>区保密技术检查中心人员住房补贴已足额及时发放，避免因资金问题影响工作人员生活与工作积极性。</w:t>
            </w:r>
          </w:p>
        </w:tc>
      </w:tr>
      <w:tr w14:paraId="7663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restart"/>
            <w:shd w:val="clear" w:color="auto" w:fill="auto"/>
            <w:vAlign w:val="center"/>
          </w:tcPr>
          <w:p w14:paraId="7D547FBB">
            <w:r>
              <w:rPr>
                <w:b w:val="0"/>
                <w:i w:val="0"/>
                <w:color w:val="auto"/>
                <w:sz w:val="24"/>
              </w:rPr>
              <w:t>绩效</w:t>
            </w:r>
          </w:p>
          <w:p w14:paraId="3BA8A767">
            <w:pPr>
              <w:shd w:val="clear" w:color="auto" w:fill="auto"/>
            </w:pPr>
            <w:r>
              <w:rPr>
                <w:b w:val="0"/>
                <w:i w:val="0"/>
                <w:color w:val="auto"/>
                <w:sz w:val="24"/>
              </w:rPr>
              <w:t>指标</w:t>
            </w:r>
          </w:p>
        </w:tc>
        <w:tc>
          <w:tcPr>
            <w:tcW w:w="928" w:type="dxa"/>
            <w:shd w:val="clear" w:color="auto" w:fill="auto"/>
            <w:vAlign w:val="center"/>
          </w:tcPr>
          <w:p w14:paraId="0AFF3910">
            <w:r>
              <w:rPr>
                <w:b w:val="0"/>
                <w:i w:val="0"/>
                <w:color w:val="auto"/>
                <w:sz w:val="24"/>
              </w:rPr>
              <w:t>一级指标</w:t>
            </w:r>
          </w:p>
        </w:tc>
        <w:tc>
          <w:tcPr>
            <w:tcW w:w="1385" w:type="dxa"/>
            <w:shd w:val="clear" w:color="auto" w:fill="auto"/>
            <w:vAlign w:val="center"/>
          </w:tcPr>
          <w:p w14:paraId="7F631AE4">
            <w:r>
              <w:rPr>
                <w:b w:val="0"/>
                <w:i w:val="0"/>
                <w:color w:val="auto"/>
                <w:sz w:val="24"/>
              </w:rPr>
              <w:t>二级指标</w:t>
            </w:r>
          </w:p>
        </w:tc>
        <w:tc>
          <w:tcPr>
            <w:tcW w:w="2640" w:type="dxa"/>
            <w:gridSpan w:val="2"/>
            <w:shd w:val="clear" w:color="auto" w:fill="auto"/>
            <w:vAlign w:val="center"/>
          </w:tcPr>
          <w:p w14:paraId="2ACCEDB2">
            <w:pPr>
              <w:jc w:val="center"/>
            </w:pPr>
            <w:r>
              <w:rPr>
                <w:b w:val="0"/>
                <w:i w:val="0"/>
                <w:color w:val="auto"/>
                <w:sz w:val="24"/>
              </w:rPr>
              <w:t>三级指标</w:t>
            </w:r>
          </w:p>
        </w:tc>
        <w:tc>
          <w:tcPr>
            <w:tcW w:w="1528" w:type="dxa"/>
            <w:gridSpan w:val="2"/>
            <w:shd w:val="clear" w:color="auto" w:fill="auto"/>
            <w:vAlign w:val="center"/>
          </w:tcPr>
          <w:p w14:paraId="6BEDE757">
            <w:pPr>
              <w:jc w:val="center"/>
            </w:pPr>
            <w:r>
              <w:rPr>
                <w:b w:val="0"/>
                <w:i w:val="0"/>
                <w:color w:val="auto"/>
                <w:sz w:val="24"/>
              </w:rPr>
              <w:t>年度指标值</w:t>
            </w:r>
          </w:p>
        </w:tc>
        <w:tc>
          <w:tcPr>
            <w:tcW w:w="912" w:type="dxa"/>
            <w:shd w:val="clear" w:color="auto" w:fill="auto"/>
            <w:vAlign w:val="center"/>
          </w:tcPr>
          <w:p w14:paraId="7F85A153">
            <w:r>
              <w:rPr>
                <w:b w:val="0"/>
                <w:i w:val="0"/>
                <w:color w:val="auto"/>
                <w:sz w:val="24"/>
              </w:rPr>
              <w:t>实际完成值</w:t>
            </w:r>
          </w:p>
        </w:tc>
        <w:tc>
          <w:tcPr>
            <w:tcW w:w="766" w:type="dxa"/>
            <w:shd w:val="clear" w:color="auto" w:fill="auto"/>
            <w:vAlign w:val="center"/>
          </w:tcPr>
          <w:p w14:paraId="72EAD7D5">
            <w:r>
              <w:rPr>
                <w:b w:val="0"/>
                <w:i w:val="0"/>
                <w:color w:val="auto"/>
                <w:sz w:val="24"/>
              </w:rPr>
              <w:t>指标分值</w:t>
            </w:r>
          </w:p>
        </w:tc>
        <w:tc>
          <w:tcPr>
            <w:tcW w:w="766" w:type="dxa"/>
            <w:shd w:val="clear" w:color="auto" w:fill="auto"/>
            <w:vAlign w:val="center"/>
          </w:tcPr>
          <w:p w14:paraId="08D3C2CA">
            <w:r>
              <w:rPr>
                <w:b w:val="0"/>
                <w:i w:val="0"/>
                <w:color w:val="auto"/>
                <w:sz w:val="24"/>
              </w:rPr>
              <w:t>自评得分</w:t>
            </w:r>
          </w:p>
        </w:tc>
        <w:tc>
          <w:tcPr>
            <w:tcW w:w="3770" w:type="dxa"/>
            <w:shd w:val="clear" w:color="auto" w:fill="auto"/>
            <w:vAlign w:val="center"/>
          </w:tcPr>
          <w:p w14:paraId="3A38D1C9">
            <w:pPr>
              <w:jc w:val="center"/>
            </w:pPr>
            <w:r>
              <w:rPr>
                <w:b w:val="0"/>
                <w:i w:val="0"/>
                <w:color w:val="auto"/>
                <w:sz w:val="24"/>
              </w:rPr>
              <w:t>偏差原因分析及改进措施</w:t>
            </w:r>
          </w:p>
        </w:tc>
      </w:tr>
      <w:tr w14:paraId="0A0B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6B807747">
            <w:pPr>
              <w:jc w:val="center"/>
            </w:pPr>
            <w:r>
              <w:rPr>
                <w:b w:val="0"/>
                <w:i w:val="0"/>
                <w:color w:val="auto"/>
                <w:sz w:val="22"/>
              </w:rPr>
              <w:t>绩效</w:t>
            </w:r>
          </w:p>
          <w:p w14:paraId="11211AB6">
            <w:pPr>
              <w:shd w:val="clear" w:color="auto" w:fill="auto"/>
              <w:jc w:val="center"/>
            </w:pPr>
            <w:r>
              <w:rPr>
                <w:b w:val="0"/>
                <w:i w:val="0"/>
                <w:color w:val="auto"/>
                <w:sz w:val="22"/>
              </w:rPr>
              <w:t>指标</w:t>
            </w:r>
          </w:p>
        </w:tc>
        <w:tc>
          <w:tcPr>
            <w:tcW w:w="928" w:type="dxa"/>
            <w:vMerge w:val="restart"/>
            <w:shd w:val="clear" w:color="auto" w:fill="auto"/>
            <w:vAlign w:val="center"/>
          </w:tcPr>
          <w:p w14:paraId="220FE89B">
            <w:r>
              <w:rPr>
                <w:b w:val="0"/>
                <w:i w:val="0"/>
                <w:color w:val="auto"/>
                <w:sz w:val="22"/>
              </w:rPr>
              <w:t>产出指标</w:t>
            </w:r>
          </w:p>
        </w:tc>
        <w:tc>
          <w:tcPr>
            <w:tcW w:w="1385" w:type="dxa"/>
            <w:shd w:val="clear" w:color="auto" w:fill="auto"/>
            <w:vAlign w:val="center"/>
          </w:tcPr>
          <w:p w14:paraId="1E570783">
            <w:r>
              <w:rPr>
                <w:b w:val="0"/>
                <w:i w:val="0"/>
                <w:color w:val="auto"/>
                <w:sz w:val="22"/>
              </w:rPr>
              <w:t>数量指标</w:t>
            </w:r>
          </w:p>
        </w:tc>
        <w:tc>
          <w:tcPr>
            <w:tcW w:w="2640" w:type="dxa"/>
            <w:gridSpan w:val="2"/>
            <w:shd w:val="clear" w:color="auto" w:fill="auto"/>
            <w:vAlign w:val="center"/>
          </w:tcPr>
          <w:p w14:paraId="64C0D3F6">
            <w:r>
              <w:rPr>
                <w:b w:val="0"/>
                <w:i w:val="0"/>
                <w:color w:val="auto"/>
                <w:sz w:val="22"/>
              </w:rPr>
              <w:t>资金结算完成率</w:t>
            </w:r>
          </w:p>
        </w:tc>
        <w:tc>
          <w:tcPr>
            <w:tcW w:w="1528" w:type="dxa"/>
            <w:gridSpan w:val="2"/>
            <w:shd w:val="clear" w:color="auto" w:fill="auto"/>
            <w:vAlign w:val="center"/>
          </w:tcPr>
          <w:p w14:paraId="6E1471A7">
            <w:r>
              <w:rPr>
                <w:b w:val="0"/>
                <w:i w:val="0"/>
                <w:color w:val="auto"/>
                <w:sz w:val="24"/>
              </w:rPr>
              <w:t>≥100%</w:t>
            </w:r>
          </w:p>
        </w:tc>
        <w:tc>
          <w:tcPr>
            <w:tcW w:w="912" w:type="dxa"/>
            <w:shd w:val="clear" w:color="auto" w:fill="auto"/>
            <w:vAlign w:val="center"/>
          </w:tcPr>
          <w:p w14:paraId="47151D38">
            <w:r>
              <w:rPr>
                <w:b w:val="0"/>
                <w:i w:val="0"/>
                <w:color w:val="auto"/>
                <w:sz w:val="24"/>
              </w:rPr>
              <w:t>100</w:t>
            </w:r>
          </w:p>
        </w:tc>
        <w:tc>
          <w:tcPr>
            <w:tcW w:w="766" w:type="dxa"/>
            <w:shd w:val="clear" w:color="auto" w:fill="auto"/>
            <w:vAlign w:val="center"/>
          </w:tcPr>
          <w:p w14:paraId="5215C6B0">
            <w:r>
              <w:rPr>
                <w:b w:val="0"/>
                <w:i w:val="0"/>
                <w:color w:val="auto"/>
                <w:sz w:val="24"/>
              </w:rPr>
              <w:t>10</w:t>
            </w:r>
          </w:p>
        </w:tc>
        <w:tc>
          <w:tcPr>
            <w:tcW w:w="766" w:type="dxa"/>
            <w:shd w:val="clear" w:color="auto" w:fill="auto"/>
            <w:vAlign w:val="center"/>
          </w:tcPr>
          <w:p w14:paraId="420312B0">
            <w:r>
              <w:rPr>
                <w:b w:val="0"/>
                <w:i w:val="0"/>
                <w:color w:val="auto"/>
                <w:sz w:val="24"/>
              </w:rPr>
              <w:t>10</w:t>
            </w:r>
          </w:p>
        </w:tc>
        <w:tc>
          <w:tcPr>
            <w:tcW w:w="3770" w:type="dxa"/>
            <w:shd w:val="clear" w:color="auto" w:fill="auto"/>
            <w:vAlign w:val="center"/>
          </w:tcPr>
          <w:p w14:paraId="2C7BB01D"/>
        </w:tc>
      </w:tr>
      <w:tr w14:paraId="37C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78909FE9">
            <w:pPr>
              <w:jc w:val="center"/>
            </w:pPr>
            <w:r>
              <w:rPr>
                <w:b w:val="0"/>
                <w:i w:val="0"/>
                <w:color w:val="auto"/>
                <w:sz w:val="22"/>
              </w:rPr>
              <w:t>绩效</w:t>
            </w:r>
          </w:p>
          <w:p w14:paraId="09191962">
            <w:pPr>
              <w:shd w:val="clear" w:color="auto" w:fill="auto"/>
              <w:jc w:val="center"/>
            </w:pPr>
            <w:r>
              <w:rPr>
                <w:b w:val="0"/>
                <w:i w:val="0"/>
                <w:color w:val="auto"/>
                <w:sz w:val="22"/>
              </w:rPr>
              <w:t>指标</w:t>
            </w:r>
          </w:p>
        </w:tc>
        <w:tc>
          <w:tcPr>
            <w:tcW w:w="928" w:type="dxa"/>
            <w:vMerge w:val="continue"/>
            <w:shd w:val="clear" w:color="auto" w:fill="auto"/>
            <w:vAlign w:val="center"/>
          </w:tcPr>
          <w:p w14:paraId="0B74C2FA">
            <w:r>
              <w:rPr>
                <w:b w:val="0"/>
                <w:i w:val="0"/>
                <w:color w:val="auto"/>
                <w:sz w:val="22"/>
              </w:rPr>
              <w:t>产出指标</w:t>
            </w:r>
          </w:p>
        </w:tc>
        <w:tc>
          <w:tcPr>
            <w:tcW w:w="1385" w:type="dxa"/>
            <w:shd w:val="clear" w:color="auto" w:fill="auto"/>
            <w:vAlign w:val="center"/>
          </w:tcPr>
          <w:p w14:paraId="5D7772CB">
            <w:r>
              <w:rPr>
                <w:b w:val="0"/>
                <w:i w:val="0"/>
                <w:color w:val="auto"/>
                <w:sz w:val="22"/>
              </w:rPr>
              <w:t>质量指标</w:t>
            </w:r>
          </w:p>
        </w:tc>
        <w:tc>
          <w:tcPr>
            <w:tcW w:w="2640" w:type="dxa"/>
            <w:gridSpan w:val="2"/>
            <w:shd w:val="clear" w:color="auto" w:fill="auto"/>
            <w:vAlign w:val="center"/>
          </w:tcPr>
          <w:p w14:paraId="32BEB7F4">
            <w:r>
              <w:rPr>
                <w:b w:val="0"/>
                <w:i w:val="0"/>
                <w:color w:val="auto"/>
                <w:sz w:val="22"/>
              </w:rPr>
              <w:t>补贴发放准确率</w:t>
            </w:r>
          </w:p>
        </w:tc>
        <w:tc>
          <w:tcPr>
            <w:tcW w:w="1528" w:type="dxa"/>
            <w:gridSpan w:val="2"/>
            <w:shd w:val="clear" w:color="auto" w:fill="auto"/>
            <w:vAlign w:val="center"/>
          </w:tcPr>
          <w:p w14:paraId="3C7F0CDD">
            <w:r>
              <w:rPr>
                <w:b w:val="0"/>
                <w:i w:val="0"/>
                <w:color w:val="auto"/>
                <w:sz w:val="24"/>
              </w:rPr>
              <w:t>≥100%</w:t>
            </w:r>
          </w:p>
        </w:tc>
        <w:tc>
          <w:tcPr>
            <w:tcW w:w="912" w:type="dxa"/>
            <w:shd w:val="clear" w:color="auto" w:fill="auto"/>
            <w:vAlign w:val="center"/>
          </w:tcPr>
          <w:p w14:paraId="425BA2AB">
            <w:r>
              <w:rPr>
                <w:b w:val="0"/>
                <w:i w:val="0"/>
                <w:color w:val="auto"/>
                <w:sz w:val="24"/>
              </w:rPr>
              <w:t>100</w:t>
            </w:r>
          </w:p>
        </w:tc>
        <w:tc>
          <w:tcPr>
            <w:tcW w:w="766" w:type="dxa"/>
            <w:shd w:val="clear" w:color="auto" w:fill="auto"/>
            <w:vAlign w:val="center"/>
          </w:tcPr>
          <w:p w14:paraId="6DC8D759">
            <w:r>
              <w:rPr>
                <w:b w:val="0"/>
                <w:i w:val="0"/>
                <w:color w:val="auto"/>
                <w:sz w:val="24"/>
              </w:rPr>
              <w:t>15</w:t>
            </w:r>
          </w:p>
        </w:tc>
        <w:tc>
          <w:tcPr>
            <w:tcW w:w="766" w:type="dxa"/>
            <w:shd w:val="clear" w:color="auto" w:fill="auto"/>
            <w:vAlign w:val="center"/>
          </w:tcPr>
          <w:p w14:paraId="2B066D1F">
            <w:r>
              <w:rPr>
                <w:b w:val="0"/>
                <w:i w:val="0"/>
                <w:color w:val="auto"/>
                <w:sz w:val="24"/>
              </w:rPr>
              <w:t>15</w:t>
            </w:r>
          </w:p>
        </w:tc>
        <w:tc>
          <w:tcPr>
            <w:tcW w:w="3770" w:type="dxa"/>
            <w:shd w:val="clear" w:color="auto" w:fill="auto"/>
            <w:vAlign w:val="center"/>
          </w:tcPr>
          <w:p w14:paraId="79E47C48"/>
        </w:tc>
      </w:tr>
      <w:tr w14:paraId="312F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047E02F4">
            <w:pPr>
              <w:jc w:val="center"/>
            </w:pPr>
            <w:r>
              <w:rPr>
                <w:b w:val="0"/>
                <w:i w:val="0"/>
                <w:color w:val="auto"/>
                <w:sz w:val="22"/>
              </w:rPr>
              <w:t>绩效</w:t>
            </w:r>
          </w:p>
          <w:p w14:paraId="635C719C">
            <w:pPr>
              <w:shd w:val="clear" w:color="auto" w:fill="auto"/>
              <w:jc w:val="center"/>
            </w:pPr>
            <w:r>
              <w:rPr>
                <w:b w:val="0"/>
                <w:i w:val="0"/>
                <w:color w:val="auto"/>
                <w:sz w:val="22"/>
              </w:rPr>
              <w:t>指标</w:t>
            </w:r>
          </w:p>
        </w:tc>
        <w:tc>
          <w:tcPr>
            <w:tcW w:w="928" w:type="dxa"/>
            <w:vMerge w:val="continue"/>
            <w:shd w:val="clear" w:color="auto" w:fill="auto"/>
            <w:vAlign w:val="center"/>
          </w:tcPr>
          <w:p w14:paraId="5FAE5A35">
            <w:r>
              <w:rPr>
                <w:b w:val="0"/>
                <w:i w:val="0"/>
                <w:color w:val="auto"/>
                <w:sz w:val="22"/>
              </w:rPr>
              <w:t>产出指标</w:t>
            </w:r>
          </w:p>
        </w:tc>
        <w:tc>
          <w:tcPr>
            <w:tcW w:w="1385" w:type="dxa"/>
            <w:shd w:val="clear" w:color="auto" w:fill="auto"/>
            <w:vAlign w:val="center"/>
          </w:tcPr>
          <w:p w14:paraId="45B3C12E">
            <w:r>
              <w:rPr>
                <w:b w:val="0"/>
                <w:i w:val="0"/>
                <w:color w:val="auto"/>
                <w:sz w:val="22"/>
              </w:rPr>
              <w:t>时效指标</w:t>
            </w:r>
          </w:p>
        </w:tc>
        <w:tc>
          <w:tcPr>
            <w:tcW w:w="2640" w:type="dxa"/>
            <w:gridSpan w:val="2"/>
            <w:shd w:val="clear" w:color="auto" w:fill="auto"/>
            <w:vAlign w:val="center"/>
          </w:tcPr>
          <w:p w14:paraId="283A5742">
            <w:r>
              <w:rPr>
                <w:b w:val="0"/>
                <w:i w:val="0"/>
                <w:color w:val="auto"/>
                <w:sz w:val="22"/>
              </w:rPr>
              <w:t>经费缴交及时率</w:t>
            </w:r>
          </w:p>
        </w:tc>
        <w:tc>
          <w:tcPr>
            <w:tcW w:w="1528" w:type="dxa"/>
            <w:gridSpan w:val="2"/>
            <w:shd w:val="clear" w:color="auto" w:fill="auto"/>
            <w:vAlign w:val="center"/>
          </w:tcPr>
          <w:p w14:paraId="41E62513">
            <w:r>
              <w:rPr>
                <w:b w:val="0"/>
                <w:i w:val="0"/>
                <w:color w:val="auto"/>
                <w:sz w:val="24"/>
              </w:rPr>
              <w:t>≥100%</w:t>
            </w:r>
          </w:p>
        </w:tc>
        <w:tc>
          <w:tcPr>
            <w:tcW w:w="912" w:type="dxa"/>
            <w:shd w:val="clear" w:color="auto" w:fill="auto"/>
            <w:vAlign w:val="center"/>
          </w:tcPr>
          <w:p w14:paraId="0819E357">
            <w:r>
              <w:rPr>
                <w:b w:val="0"/>
                <w:i w:val="0"/>
                <w:color w:val="auto"/>
                <w:sz w:val="24"/>
              </w:rPr>
              <w:t>100</w:t>
            </w:r>
          </w:p>
        </w:tc>
        <w:tc>
          <w:tcPr>
            <w:tcW w:w="766" w:type="dxa"/>
            <w:shd w:val="clear" w:color="auto" w:fill="auto"/>
            <w:vAlign w:val="center"/>
          </w:tcPr>
          <w:p w14:paraId="7E514FF7">
            <w:r>
              <w:rPr>
                <w:b w:val="0"/>
                <w:i w:val="0"/>
                <w:color w:val="auto"/>
                <w:sz w:val="24"/>
              </w:rPr>
              <w:t>15</w:t>
            </w:r>
          </w:p>
        </w:tc>
        <w:tc>
          <w:tcPr>
            <w:tcW w:w="766" w:type="dxa"/>
            <w:shd w:val="clear" w:color="auto" w:fill="auto"/>
            <w:vAlign w:val="center"/>
          </w:tcPr>
          <w:p w14:paraId="3AB1551E">
            <w:r>
              <w:rPr>
                <w:b w:val="0"/>
                <w:i w:val="0"/>
                <w:color w:val="auto"/>
                <w:sz w:val="24"/>
              </w:rPr>
              <w:t>15</w:t>
            </w:r>
          </w:p>
        </w:tc>
        <w:tc>
          <w:tcPr>
            <w:tcW w:w="3770" w:type="dxa"/>
            <w:shd w:val="clear" w:color="auto" w:fill="auto"/>
            <w:vAlign w:val="center"/>
          </w:tcPr>
          <w:p w14:paraId="09194681"/>
        </w:tc>
      </w:tr>
      <w:tr w14:paraId="150A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5A494714">
            <w:pPr>
              <w:jc w:val="center"/>
            </w:pPr>
            <w:r>
              <w:rPr>
                <w:b w:val="0"/>
                <w:i w:val="0"/>
                <w:color w:val="auto"/>
                <w:sz w:val="22"/>
              </w:rPr>
              <w:t>绩效</w:t>
            </w:r>
          </w:p>
          <w:p w14:paraId="68A56FA5">
            <w:pPr>
              <w:shd w:val="clear" w:color="auto" w:fill="auto"/>
              <w:jc w:val="center"/>
            </w:pPr>
            <w:r>
              <w:rPr>
                <w:b w:val="0"/>
                <w:i w:val="0"/>
                <w:color w:val="auto"/>
                <w:sz w:val="22"/>
              </w:rPr>
              <w:t>指标</w:t>
            </w:r>
          </w:p>
        </w:tc>
        <w:tc>
          <w:tcPr>
            <w:tcW w:w="928" w:type="dxa"/>
            <w:shd w:val="clear" w:color="auto" w:fill="auto"/>
            <w:vAlign w:val="center"/>
          </w:tcPr>
          <w:p w14:paraId="5636C181">
            <w:r>
              <w:rPr>
                <w:b w:val="0"/>
                <w:i w:val="0"/>
                <w:color w:val="auto"/>
                <w:sz w:val="22"/>
              </w:rPr>
              <w:t>成本指标</w:t>
            </w:r>
          </w:p>
        </w:tc>
        <w:tc>
          <w:tcPr>
            <w:tcW w:w="1385" w:type="dxa"/>
            <w:shd w:val="clear" w:color="auto" w:fill="auto"/>
            <w:vAlign w:val="center"/>
          </w:tcPr>
          <w:p w14:paraId="185C6DCF">
            <w:r>
              <w:rPr>
                <w:b w:val="0"/>
                <w:i w:val="0"/>
                <w:color w:val="auto"/>
                <w:sz w:val="22"/>
              </w:rPr>
              <w:t>经济成本指标</w:t>
            </w:r>
          </w:p>
        </w:tc>
        <w:tc>
          <w:tcPr>
            <w:tcW w:w="2640" w:type="dxa"/>
            <w:gridSpan w:val="2"/>
            <w:shd w:val="clear" w:color="auto" w:fill="auto"/>
            <w:vAlign w:val="center"/>
          </w:tcPr>
          <w:p w14:paraId="30340C83">
            <w:r>
              <w:rPr>
                <w:b w:val="0"/>
                <w:i w:val="0"/>
                <w:color w:val="auto"/>
                <w:sz w:val="22"/>
              </w:rPr>
              <w:t>配套资金到位率</w:t>
            </w:r>
          </w:p>
        </w:tc>
        <w:tc>
          <w:tcPr>
            <w:tcW w:w="1528" w:type="dxa"/>
            <w:gridSpan w:val="2"/>
            <w:shd w:val="clear" w:color="auto" w:fill="auto"/>
            <w:vAlign w:val="center"/>
          </w:tcPr>
          <w:p w14:paraId="05BE7FB9">
            <w:r>
              <w:rPr>
                <w:b w:val="0"/>
                <w:i w:val="0"/>
                <w:color w:val="auto"/>
                <w:sz w:val="24"/>
              </w:rPr>
              <w:t>≥100%</w:t>
            </w:r>
          </w:p>
        </w:tc>
        <w:tc>
          <w:tcPr>
            <w:tcW w:w="912" w:type="dxa"/>
            <w:shd w:val="clear" w:color="auto" w:fill="auto"/>
            <w:vAlign w:val="center"/>
          </w:tcPr>
          <w:p w14:paraId="30538C59">
            <w:r>
              <w:rPr>
                <w:b w:val="0"/>
                <w:i w:val="0"/>
                <w:color w:val="auto"/>
                <w:sz w:val="24"/>
              </w:rPr>
              <w:t>100</w:t>
            </w:r>
          </w:p>
        </w:tc>
        <w:tc>
          <w:tcPr>
            <w:tcW w:w="766" w:type="dxa"/>
            <w:shd w:val="clear" w:color="auto" w:fill="auto"/>
            <w:vAlign w:val="center"/>
          </w:tcPr>
          <w:p w14:paraId="3986803D">
            <w:r>
              <w:rPr>
                <w:b w:val="0"/>
                <w:i w:val="0"/>
                <w:color w:val="auto"/>
                <w:sz w:val="24"/>
              </w:rPr>
              <w:t>10</w:t>
            </w:r>
          </w:p>
        </w:tc>
        <w:tc>
          <w:tcPr>
            <w:tcW w:w="766" w:type="dxa"/>
            <w:shd w:val="clear" w:color="auto" w:fill="auto"/>
            <w:vAlign w:val="center"/>
          </w:tcPr>
          <w:p w14:paraId="35337238">
            <w:r>
              <w:rPr>
                <w:b w:val="0"/>
                <w:i w:val="0"/>
                <w:color w:val="auto"/>
                <w:sz w:val="24"/>
              </w:rPr>
              <w:t>10</w:t>
            </w:r>
          </w:p>
        </w:tc>
        <w:tc>
          <w:tcPr>
            <w:tcW w:w="3770" w:type="dxa"/>
            <w:shd w:val="clear" w:color="auto" w:fill="auto"/>
            <w:vAlign w:val="center"/>
          </w:tcPr>
          <w:p w14:paraId="46C44DE3"/>
        </w:tc>
      </w:tr>
      <w:tr w14:paraId="397F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2B386847">
            <w:pPr>
              <w:jc w:val="center"/>
            </w:pPr>
            <w:r>
              <w:rPr>
                <w:b w:val="0"/>
                <w:i w:val="0"/>
                <w:color w:val="auto"/>
                <w:sz w:val="22"/>
              </w:rPr>
              <w:t>绩效</w:t>
            </w:r>
          </w:p>
          <w:p w14:paraId="2414431C">
            <w:pPr>
              <w:shd w:val="clear" w:color="auto" w:fill="auto"/>
              <w:jc w:val="center"/>
            </w:pPr>
            <w:r>
              <w:rPr>
                <w:b w:val="0"/>
                <w:i w:val="0"/>
                <w:color w:val="auto"/>
                <w:sz w:val="22"/>
              </w:rPr>
              <w:t>指标</w:t>
            </w:r>
          </w:p>
        </w:tc>
        <w:tc>
          <w:tcPr>
            <w:tcW w:w="928" w:type="dxa"/>
            <w:shd w:val="clear" w:color="auto" w:fill="auto"/>
            <w:vAlign w:val="center"/>
          </w:tcPr>
          <w:p w14:paraId="10AB76FC">
            <w:r>
              <w:rPr>
                <w:b w:val="0"/>
                <w:i w:val="0"/>
                <w:color w:val="auto"/>
                <w:sz w:val="22"/>
              </w:rPr>
              <w:t>效益指标</w:t>
            </w:r>
          </w:p>
        </w:tc>
        <w:tc>
          <w:tcPr>
            <w:tcW w:w="1385" w:type="dxa"/>
            <w:shd w:val="clear" w:color="auto" w:fill="auto"/>
            <w:vAlign w:val="center"/>
          </w:tcPr>
          <w:p w14:paraId="61A161E1">
            <w:r>
              <w:rPr>
                <w:b w:val="0"/>
                <w:i w:val="0"/>
                <w:color w:val="auto"/>
                <w:sz w:val="22"/>
              </w:rPr>
              <w:t>经济效益指标</w:t>
            </w:r>
          </w:p>
        </w:tc>
        <w:tc>
          <w:tcPr>
            <w:tcW w:w="2640" w:type="dxa"/>
            <w:gridSpan w:val="2"/>
            <w:shd w:val="clear" w:color="auto" w:fill="auto"/>
            <w:vAlign w:val="center"/>
          </w:tcPr>
          <w:p w14:paraId="4F2911E1">
            <w:r>
              <w:rPr>
                <w:b w:val="0"/>
                <w:i w:val="0"/>
                <w:color w:val="auto"/>
                <w:sz w:val="22"/>
              </w:rPr>
              <w:t>保障本单位住房补贴人数</w:t>
            </w:r>
          </w:p>
        </w:tc>
        <w:tc>
          <w:tcPr>
            <w:tcW w:w="1528" w:type="dxa"/>
            <w:gridSpan w:val="2"/>
            <w:shd w:val="clear" w:color="auto" w:fill="auto"/>
            <w:vAlign w:val="center"/>
          </w:tcPr>
          <w:p w14:paraId="011784A3">
            <w:r>
              <w:rPr>
                <w:b w:val="0"/>
                <w:i w:val="0"/>
                <w:color w:val="auto"/>
                <w:sz w:val="24"/>
              </w:rPr>
              <w:t>≥8人</w:t>
            </w:r>
          </w:p>
        </w:tc>
        <w:tc>
          <w:tcPr>
            <w:tcW w:w="912" w:type="dxa"/>
            <w:shd w:val="clear" w:color="auto" w:fill="auto"/>
            <w:vAlign w:val="center"/>
          </w:tcPr>
          <w:p w14:paraId="6D9BB39E">
            <w:r>
              <w:rPr>
                <w:b w:val="0"/>
                <w:i w:val="0"/>
                <w:color w:val="auto"/>
                <w:sz w:val="24"/>
              </w:rPr>
              <w:t>7</w:t>
            </w:r>
          </w:p>
        </w:tc>
        <w:tc>
          <w:tcPr>
            <w:tcW w:w="766" w:type="dxa"/>
            <w:shd w:val="clear" w:color="auto" w:fill="auto"/>
            <w:vAlign w:val="center"/>
          </w:tcPr>
          <w:p w14:paraId="2FE4AE53">
            <w:r>
              <w:rPr>
                <w:b w:val="0"/>
                <w:i w:val="0"/>
                <w:color w:val="auto"/>
                <w:sz w:val="24"/>
              </w:rPr>
              <w:t>30</w:t>
            </w:r>
          </w:p>
        </w:tc>
        <w:tc>
          <w:tcPr>
            <w:tcW w:w="766" w:type="dxa"/>
            <w:shd w:val="clear" w:color="auto" w:fill="auto"/>
            <w:vAlign w:val="center"/>
          </w:tcPr>
          <w:p w14:paraId="68E52472">
            <w:r>
              <w:rPr>
                <w:b w:val="0"/>
                <w:i w:val="0"/>
                <w:color w:val="auto"/>
                <w:sz w:val="24"/>
              </w:rPr>
              <w:t>26.25</w:t>
            </w:r>
          </w:p>
        </w:tc>
        <w:tc>
          <w:tcPr>
            <w:tcW w:w="3770" w:type="dxa"/>
            <w:shd w:val="clear" w:color="auto" w:fill="auto"/>
            <w:vAlign w:val="center"/>
          </w:tcPr>
          <w:p w14:paraId="6B2DD13B">
            <w:r>
              <w:rPr>
                <w:b w:val="0"/>
                <w:i w:val="0"/>
                <w:color w:val="auto"/>
                <w:sz w:val="24"/>
              </w:rPr>
              <w:t>保密中心实际住房补贴人数为7人，均已按时足额缴交。</w:t>
            </w:r>
          </w:p>
        </w:tc>
      </w:tr>
      <w:tr w14:paraId="7AB6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1" w:type="dxa"/>
            <w:vMerge w:val="continue"/>
            <w:shd w:val="clear" w:color="auto" w:fill="auto"/>
            <w:vAlign w:val="center"/>
          </w:tcPr>
          <w:p w14:paraId="61CBE52C">
            <w:pPr>
              <w:jc w:val="center"/>
            </w:pPr>
            <w:r>
              <w:rPr>
                <w:b w:val="0"/>
                <w:i w:val="0"/>
                <w:color w:val="auto"/>
                <w:sz w:val="22"/>
              </w:rPr>
              <w:t>绩效</w:t>
            </w:r>
          </w:p>
          <w:p w14:paraId="20220C35">
            <w:pPr>
              <w:shd w:val="clear" w:color="auto" w:fill="auto"/>
              <w:jc w:val="center"/>
            </w:pPr>
            <w:r>
              <w:rPr>
                <w:b w:val="0"/>
                <w:i w:val="0"/>
                <w:color w:val="auto"/>
                <w:sz w:val="22"/>
              </w:rPr>
              <w:t>指标</w:t>
            </w:r>
          </w:p>
        </w:tc>
        <w:tc>
          <w:tcPr>
            <w:tcW w:w="928" w:type="dxa"/>
            <w:shd w:val="clear" w:color="auto" w:fill="auto"/>
            <w:vAlign w:val="center"/>
          </w:tcPr>
          <w:p w14:paraId="55A295FD">
            <w:r>
              <w:rPr>
                <w:b w:val="0"/>
                <w:i w:val="0"/>
                <w:color w:val="auto"/>
                <w:sz w:val="22"/>
              </w:rPr>
              <w:t>满意度指标</w:t>
            </w:r>
          </w:p>
        </w:tc>
        <w:tc>
          <w:tcPr>
            <w:tcW w:w="1385" w:type="dxa"/>
            <w:shd w:val="clear" w:color="auto" w:fill="auto"/>
            <w:vAlign w:val="center"/>
          </w:tcPr>
          <w:p w14:paraId="58E6C99F">
            <w:r>
              <w:rPr>
                <w:b w:val="0"/>
                <w:i w:val="0"/>
                <w:color w:val="auto"/>
                <w:sz w:val="22"/>
              </w:rPr>
              <w:t>服务对象满意度指标</w:t>
            </w:r>
          </w:p>
        </w:tc>
        <w:tc>
          <w:tcPr>
            <w:tcW w:w="2640" w:type="dxa"/>
            <w:gridSpan w:val="2"/>
            <w:shd w:val="clear" w:color="auto" w:fill="auto"/>
            <w:vAlign w:val="center"/>
          </w:tcPr>
          <w:p w14:paraId="78E76FFA">
            <w:r>
              <w:rPr>
                <w:b w:val="0"/>
                <w:i w:val="0"/>
                <w:color w:val="auto"/>
                <w:sz w:val="22"/>
              </w:rPr>
              <w:t>职工投诉数</w:t>
            </w:r>
          </w:p>
        </w:tc>
        <w:tc>
          <w:tcPr>
            <w:tcW w:w="1528" w:type="dxa"/>
            <w:gridSpan w:val="2"/>
            <w:shd w:val="clear" w:color="auto" w:fill="auto"/>
            <w:vAlign w:val="center"/>
          </w:tcPr>
          <w:p w14:paraId="33E95346">
            <w:r>
              <w:rPr>
                <w:b w:val="0"/>
                <w:i w:val="0"/>
                <w:color w:val="auto"/>
                <w:sz w:val="24"/>
              </w:rPr>
              <w:t>≤0次</w:t>
            </w:r>
          </w:p>
        </w:tc>
        <w:tc>
          <w:tcPr>
            <w:tcW w:w="912" w:type="dxa"/>
            <w:shd w:val="clear" w:color="auto" w:fill="auto"/>
            <w:vAlign w:val="center"/>
          </w:tcPr>
          <w:p w14:paraId="6FDC781C">
            <w:r>
              <w:rPr>
                <w:b w:val="0"/>
                <w:i w:val="0"/>
                <w:color w:val="auto"/>
                <w:sz w:val="24"/>
              </w:rPr>
              <w:t>0</w:t>
            </w:r>
          </w:p>
        </w:tc>
        <w:tc>
          <w:tcPr>
            <w:tcW w:w="766" w:type="dxa"/>
            <w:shd w:val="clear" w:color="auto" w:fill="auto"/>
            <w:vAlign w:val="center"/>
          </w:tcPr>
          <w:p w14:paraId="2241F1B8">
            <w:r>
              <w:rPr>
                <w:b w:val="0"/>
                <w:i w:val="0"/>
                <w:color w:val="auto"/>
                <w:sz w:val="24"/>
              </w:rPr>
              <w:t>10</w:t>
            </w:r>
          </w:p>
        </w:tc>
        <w:tc>
          <w:tcPr>
            <w:tcW w:w="766" w:type="dxa"/>
            <w:shd w:val="clear" w:color="auto" w:fill="auto"/>
            <w:vAlign w:val="center"/>
          </w:tcPr>
          <w:p w14:paraId="76C755C0">
            <w:r>
              <w:rPr>
                <w:b w:val="0"/>
                <w:i w:val="0"/>
                <w:color w:val="auto"/>
                <w:sz w:val="24"/>
              </w:rPr>
              <w:t>10</w:t>
            </w:r>
          </w:p>
        </w:tc>
        <w:tc>
          <w:tcPr>
            <w:tcW w:w="3770" w:type="dxa"/>
            <w:shd w:val="clear" w:color="auto" w:fill="auto"/>
            <w:vAlign w:val="center"/>
          </w:tcPr>
          <w:p w14:paraId="673425F0"/>
        </w:tc>
      </w:tr>
      <w:tr w14:paraId="193A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74" w:type="dxa"/>
            <w:gridSpan w:val="8"/>
            <w:shd w:val="clear" w:color="auto" w:fill="auto"/>
            <w:vAlign w:val="center"/>
          </w:tcPr>
          <w:p w14:paraId="6051C273">
            <w:pPr>
              <w:jc w:val="center"/>
            </w:pPr>
            <w:r>
              <w:rPr>
                <w:b w:val="0"/>
                <w:i w:val="0"/>
                <w:color w:val="auto"/>
                <w:sz w:val="24"/>
              </w:rPr>
              <w:t>总分</w:t>
            </w:r>
          </w:p>
        </w:tc>
        <w:tc>
          <w:tcPr>
            <w:tcW w:w="5302" w:type="dxa"/>
            <w:gridSpan w:val="3"/>
            <w:shd w:val="clear" w:color="auto" w:fill="auto"/>
            <w:vAlign w:val="center"/>
          </w:tcPr>
          <w:p w14:paraId="0C1AC525">
            <w:pPr>
              <w:jc w:val="center"/>
            </w:pPr>
            <w:r>
              <w:rPr>
                <w:b w:val="0"/>
                <w:i w:val="0"/>
                <w:color w:val="auto"/>
                <w:sz w:val="24"/>
              </w:rPr>
              <w:t>96.25</w:t>
            </w:r>
          </w:p>
        </w:tc>
      </w:tr>
    </w:tbl>
    <w:p w14:paraId="56A013CF">
      <w:pPr>
        <w:tabs>
          <w:tab w:val="left" w:pos="7513"/>
        </w:tabs>
        <w:overflowPunct w:val="0"/>
        <w:autoSpaceDE w:val="0"/>
        <w:autoSpaceDN w:val="0"/>
        <w:adjustRightInd w:val="0"/>
        <w:snapToGrid w:val="0"/>
        <w:spacing w:line="600" w:lineRule="exact"/>
        <w:rPr>
          <w:rFonts w:ascii="仿宋" w:hAnsi="仿宋" w:eastAsia="仿宋" w:cs="仿宋"/>
          <w:sz w:val="32"/>
        </w:rPr>
      </w:pPr>
    </w:p>
    <w:p w14:paraId="593DB5CF">
      <w:pPr>
        <w:widowControl/>
        <w:topLinePunct/>
        <w:autoSpaceDE w:val="0"/>
        <w:spacing w:line="240" w:lineRule="auto"/>
        <w:jc w:val="left"/>
        <w:rPr>
          <w:rFonts w:ascii="仿宋" w:hAnsi="仿宋" w:eastAsia="仿宋" w:cs="仿宋"/>
          <w:sz w:val="32"/>
        </w:rPr>
      </w:pPr>
    </w:p>
    <w:p w14:paraId="406E445D">
      <w:pPr>
        <w:widowControl/>
        <w:topLinePunct/>
        <w:autoSpaceDE w:val="0"/>
        <w:spacing w:line="240" w:lineRule="auto"/>
        <w:jc w:val="left"/>
        <w:rPr>
          <w:rFonts w:ascii="仿宋" w:hAnsi="仿宋" w:eastAsia="仿宋" w:cs="仿宋"/>
          <w:sz w:val="32"/>
        </w:rPr>
      </w:pPr>
    </w:p>
    <w:sectPr>
      <w:pgSz w:w="16839" w:h="11907" w:orient="landscape"/>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C7379F7-21B4-4AAC-B4E9-7FB1BE934763}"/>
  </w:font>
  <w:font w:name="黑体">
    <w:panose1 w:val="02010609060101010101"/>
    <w:charset w:val="86"/>
    <w:family w:val="auto"/>
    <w:pitch w:val="default"/>
    <w:sig w:usb0="800002BF" w:usb1="38CF7CFA" w:usb2="00000016" w:usb3="00000000" w:csb0="00040001" w:csb1="00000000"/>
    <w:embedRegular r:id="rId2" w:fontKey="{56C88022-9A1E-4F72-B082-3D75F01B58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C666434-483C-42A4-87D0-7B746086EF45}"/>
  </w:font>
  <w:font w:name="Cambria">
    <w:panose1 w:val="02040503050406030204"/>
    <w:charset w:val="00"/>
    <w:family w:val="roman"/>
    <w:pitch w:val="default"/>
    <w:sig w:usb0="E00002FF" w:usb1="400004FF" w:usb2="00000000" w:usb3="00000000" w:csb0="2000019F" w:csb1="00000000"/>
  </w:font>
  <w:font w:name="黑体.....">
    <w:altName w:val="黑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3A6AD0B9-A3A4-4D0C-BA6A-C28B45382AED}"/>
  </w:font>
  <w:font w:name="仿宋">
    <w:panose1 w:val="02010609060101010101"/>
    <w:charset w:val="86"/>
    <w:family w:val="modern"/>
    <w:pitch w:val="default"/>
    <w:sig w:usb0="800002BF" w:usb1="38CF7CFA" w:usb2="00000016" w:usb3="00000000" w:csb0="00040001" w:csb1="00000000"/>
    <w:embedRegular r:id="rId5" w:fontKey="{527FE53A-B27A-4CF8-AF86-1198907D0DE0}"/>
  </w:font>
  <w:font w:name="仿宋_GB2312">
    <w:panose1 w:val="02010609030101010101"/>
    <w:charset w:val="86"/>
    <w:family w:val="modern"/>
    <w:pitch w:val="default"/>
    <w:sig w:usb0="00000001" w:usb1="080E0000" w:usb2="00000000" w:usb3="00000000" w:csb0="00040000" w:csb1="00000000"/>
    <w:embedRegular r:id="rId6" w:fontKey="{38E008FE-65BF-4E2F-B3CD-54657F0E3610}"/>
  </w:font>
  <w:font w:name="楷体">
    <w:panose1 w:val="02010609060101010101"/>
    <w:charset w:val="86"/>
    <w:family w:val="modern"/>
    <w:pitch w:val="default"/>
    <w:sig w:usb0="800002BF" w:usb1="38CF7CFA" w:usb2="00000016" w:usb3="00000000" w:csb0="00040001" w:csb1="00000000"/>
    <w:embedRegular r:id="rId7" w:fontKey="{669F7691-942E-42EA-A16F-873B4DF74B7C}"/>
  </w:font>
  <w:font w:name="楷体_GB2312">
    <w:panose1 w:val="02010609030101010101"/>
    <w:charset w:val="86"/>
    <w:family w:val="modern"/>
    <w:pitch w:val="default"/>
    <w:sig w:usb0="00000001" w:usb1="080E0000" w:usb2="00000000" w:usb3="00000000" w:csb0="00040000" w:csb1="00000000"/>
    <w:embedRegular r:id="rId8" w:fontKey="{44FCFFCA-9CDC-48C5-8463-2E265DBACD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EDB1">
    <w:pPr>
      <w:pStyle w:val="7"/>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6798"/>
    </w:sdtPr>
    <w:sdtEndPr>
      <w:rPr>
        <w:rFonts w:ascii="宋体" w:hAnsi="宋体" w:eastAsia="宋体"/>
        <w:sz w:val="28"/>
        <w:szCs w:val="28"/>
      </w:rPr>
    </w:sdtEndPr>
    <w:sdtContent>
      <w:p w14:paraId="17BE67D7">
        <w:pPr>
          <w:pStyle w:val="7"/>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55CF">
    <w:pPr>
      <w:pStyle w:val="7"/>
      <w:jc w:val="center"/>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1F75">
    <w:pPr>
      <w:pStyle w:val="7"/>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4959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8435" cy="495935"/>
                      </a:xfrm>
                      <a:prstGeom prst="rect">
                        <a:avLst/>
                      </a:prstGeom>
                      <a:noFill/>
                      <a:ln w="6350">
                        <a:noFill/>
                      </a:ln>
                    </wps:spPr>
                    <wps:txbx>
                      <w:txbxContent>
                        <w:sdt>
                          <w:sdtPr>
                            <w:id w:val="873202254"/>
                          </w:sdtPr>
                          <w:sdtEndPr>
                            <w:rPr>
                              <w:rFonts w:ascii="宋体" w:hAnsi="宋体" w:eastAsia="宋体"/>
                              <w:sz w:val="28"/>
                              <w:szCs w:val="28"/>
                            </w:rPr>
                          </w:sdtEndPr>
                          <w:sdtContent>
                            <w:p w14:paraId="5B128D32">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14:paraId="08AA614E">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9.05pt;width:14.05pt;mso-position-horizontal:center;mso-position-horizontal-relative:margin;mso-wrap-style:none;z-index:251659264;mso-width-relative:page;mso-height-relative:page;" filled="f" stroked="f" coordsize="21600,21600" o:gfxdata="UEsDBAoAAAAAAIdO4kAAAAAAAAAAAAAAAAAEAAAAZHJzL1BLAwQUAAAACACHTuJATe1NX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3tTV3RAAAAAwEAAA8AAAAAAAAAAQAgAAAAIgAAAGRycy9kb3ducmV2LnhtbFBLAQIUABQA&#10;AAAIAIdO4kCm9uNiMAIAAFMEAAAOAAAAAAAAAAEAIAAAACABAABkcnMvZTJvRG9jLnhtbFBLBQYA&#10;AAAABgAGAFkBAADCBQAAAAA=&#10;">
              <v:fill on="f" focussize="0,0"/>
              <v:stroke on="f" weight="0.5pt"/>
              <v:imagedata o:title=""/>
              <o:lock v:ext="edit" aspectratio="f"/>
              <v:textbox inset="0mm,0mm,0mm,0mm" style="mso-fit-shape-to-text:t;">
                <w:txbxContent>
                  <w:sdt>
                    <w:sdtPr>
                      <w:id w:val="873202254"/>
                    </w:sdtPr>
                    <w:sdtEndPr>
                      <w:rPr>
                        <w:rFonts w:ascii="宋体" w:hAnsi="宋体" w:eastAsia="宋体"/>
                        <w:sz w:val="28"/>
                        <w:szCs w:val="28"/>
                      </w:rPr>
                    </w:sdtEndPr>
                    <w:sdtContent>
                      <w:p w14:paraId="5B128D32">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14:paraId="08AA614E">
                    <w:pPr>
                      <w:rPr>
                        <w:rFonts w:ascii="宋体" w:hAnsi="宋体" w:eastAsia="宋体"/>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F557">
    <w:pPr>
      <w:pStyle w:val="7"/>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495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8435" cy="495935"/>
                      </a:xfrm>
                      <a:prstGeom prst="rect">
                        <a:avLst/>
                      </a:prstGeom>
                      <a:noFill/>
                      <a:ln w="6350">
                        <a:noFill/>
                      </a:ln>
                    </wps:spPr>
                    <wps:txbx>
                      <w:txbxContent>
                        <w:sdt>
                          <w:sdtPr>
                            <w:id w:val="147452290"/>
                          </w:sdtPr>
                          <w:sdtEndPr>
                            <w:rPr>
                              <w:rFonts w:ascii="宋体" w:hAnsi="宋体" w:eastAsia="宋体"/>
                              <w:sz w:val="28"/>
                              <w:szCs w:val="28"/>
                            </w:rPr>
                          </w:sdtEndPr>
                          <w:sdtContent>
                            <w:p w14:paraId="1475735D">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14:paraId="12B4605E">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9.05pt;width:14.05pt;mso-position-horizontal:center;mso-position-horizontal-relative:margin;mso-wrap-style:none;z-index:251660288;mso-width-relative:page;mso-height-relative:page;" filled="f" stroked="f" coordsize="21600,21600" o:gfxdata="UEsDBAoAAAAAAIdO4kAAAAAAAAAAAAAAAAAEAAAAZHJzL1BLAwQUAAAACACHTuJATe1NX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3tTV3RAAAAAwEAAA8AAAAAAAAAAQAgAAAAIgAAAGRycy9kb3ducmV2LnhtbFBLAQIUABQA&#10;AAAIAIdO4kAfblW1MAIAAFMEAAAOAAAAAAAAAAEAIAAAACABAABkcnMvZTJvRG9jLnhtbFBLBQYA&#10;AAAABgAGAFkBAADCBQAAAAA=&#10;">
              <v:fill on="f" focussize="0,0"/>
              <v:stroke on="f" weight="0.5pt"/>
              <v:imagedata o:title=""/>
              <o:lock v:ext="edit" aspectratio="f"/>
              <v:textbox inset="0mm,0mm,0mm,0mm" style="mso-fit-shape-to-text:t;">
                <w:txbxContent>
                  <w:sdt>
                    <w:sdtPr>
                      <w:id w:val="147452290"/>
                    </w:sdtPr>
                    <w:sdtEndPr>
                      <w:rPr>
                        <w:rFonts w:ascii="宋体" w:hAnsi="宋体" w:eastAsia="宋体"/>
                        <w:sz w:val="28"/>
                        <w:szCs w:val="28"/>
                      </w:rPr>
                    </w:sdtEndPr>
                    <w:sdtContent>
                      <w:p w14:paraId="1475735D">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14:paraId="12B4605E">
                    <w:pPr>
                      <w:rPr>
                        <w:rFonts w:ascii="宋体" w:hAnsi="宋体" w:eastAsia="宋体"/>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31C8">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B93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99"/>
  <w:drawingGridHorizontalSpacing w:val="105"/>
  <w:drawingGridVerticalSpacing w:val="156"/>
  <w:displayHorizontalDrawingGridEvery w:val="2"/>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kN2Y2NThmNzBjMzEyYzg1N2Q3Yjk2MWFiYTJkNzEifQ=="/>
  </w:docVars>
  <w:rsids>
    <w:rsidRoot w:val="00B409A9"/>
    <w:rsid w:val="00001B85"/>
    <w:rsid w:val="00002BA2"/>
    <w:rsid w:val="00004305"/>
    <w:rsid w:val="00012D44"/>
    <w:rsid w:val="00015A68"/>
    <w:rsid w:val="00020CA7"/>
    <w:rsid w:val="0002351C"/>
    <w:rsid w:val="00051C06"/>
    <w:rsid w:val="0007452D"/>
    <w:rsid w:val="00086558"/>
    <w:rsid w:val="000A7527"/>
    <w:rsid w:val="000B16C0"/>
    <w:rsid w:val="000E0654"/>
    <w:rsid w:val="000F1138"/>
    <w:rsid w:val="00104DCD"/>
    <w:rsid w:val="0010732F"/>
    <w:rsid w:val="001270F2"/>
    <w:rsid w:val="0012746F"/>
    <w:rsid w:val="00130ECE"/>
    <w:rsid w:val="0014407E"/>
    <w:rsid w:val="00144D77"/>
    <w:rsid w:val="00145556"/>
    <w:rsid w:val="00145E5D"/>
    <w:rsid w:val="001618A9"/>
    <w:rsid w:val="00164CB7"/>
    <w:rsid w:val="00167580"/>
    <w:rsid w:val="001731FE"/>
    <w:rsid w:val="0017363B"/>
    <w:rsid w:val="001757AE"/>
    <w:rsid w:val="00176984"/>
    <w:rsid w:val="00177B1F"/>
    <w:rsid w:val="00182976"/>
    <w:rsid w:val="0018297C"/>
    <w:rsid w:val="001902C5"/>
    <w:rsid w:val="00192491"/>
    <w:rsid w:val="00193F98"/>
    <w:rsid w:val="001A0FC3"/>
    <w:rsid w:val="001B1F9E"/>
    <w:rsid w:val="001C0FCB"/>
    <w:rsid w:val="001C2C68"/>
    <w:rsid w:val="001E09A7"/>
    <w:rsid w:val="001E1870"/>
    <w:rsid w:val="00200758"/>
    <w:rsid w:val="00211534"/>
    <w:rsid w:val="00215A7F"/>
    <w:rsid w:val="00216583"/>
    <w:rsid w:val="00220B52"/>
    <w:rsid w:val="0023447B"/>
    <w:rsid w:val="002351E3"/>
    <w:rsid w:val="00243516"/>
    <w:rsid w:val="002461E0"/>
    <w:rsid w:val="00257D01"/>
    <w:rsid w:val="0027318D"/>
    <w:rsid w:val="00273D47"/>
    <w:rsid w:val="002B5F59"/>
    <w:rsid w:val="002B66B2"/>
    <w:rsid w:val="002C1D61"/>
    <w:rsid w:val="002C6AB2"/>
    <w:rsid w:val="002D04F9"/>
    <w:rsid w:val="002E5ED1"/>
    <w:rsid w:val="003051AF"/>
    <w:rsid w:val="00306AAB"/>
    <w:rsid w:val="00317928"/>
    <w:rsid w:val="00340EF1"/>
    <w:rsid w:val="00345CA6"/>
    <w:rsid w:val="00377519"/>
    <w:rsid w:val="00377FF0"/>
    <w:rsid w:val="0039386F"/>
    <w:rsid w:val="003B74A4"/>
    <w:rsid w:val="003C28CE"/>
    <w:rsid w:val="003C6215"/>
    <w:rsid w:val="003D6C67"/>
    <w:rsid w:val="003F69EC"/>
    <w:rsid w:val="003F76FA"/>
    <w:rsid w:val="00402638"/>
    <w:rsid w:val="004055E6"/>
    <w:rsid w:val="004109D8"/>
    <w:rsid w:val="00410CA2"/>
    <w:rsid w:val="00413168"/>
    <w:rsid w:val="004134DE"/>
    <w:rsid w:val="004145AD"/>
    <w:rsid w:val="004304D1"/>
    <w:rsid w:val="004776CD"/>
    <w:rsid w:val="0049528B"/>
    <w:rsid w:val="004B0EFF"/>
    <w:rsid w:val="004B5091"/>
    <w:rsid w:val="004C1228"/>
    <w:rsid w:val="004C7FDB"/>
    <w:rsid w:val="004F1429"/>
    <w:rsid w:val="004F1FFD"/>
    <w:rsid w:val="004F60FA"/>
    <w:rsid w:val="005004C8"/>
    <w:rsid w:val="00502E65"/>
    <w:rsid w:val="00503B71"/>
    <w:rsid w:val="005103AE"/>
    <w:rsid w:val="00532FC8"/>
    <w:rsid w:val="00540990"/>
    <w:rsid w:val="00551698"/>
    <w:rsid w:val="00560200"/>
    <w:rsid w:val="005636F9"/>
    <w:rsid w:val="00563F65"/>
    <w:rsid w:val="0057317D"/>
    <w:rsid w:val="005B60B5"/>
    <w:rsid w:val="005C0563"/>
    <w:rsid w:val="005C31EF"/>
    <w:rsid w:val="005C4F6D"/>
    <w:rsid w:val="005C7CE0"/>
    <w:rsid w:val="005D70CB"/>
    <w:rsid w:val="00603B1C"/>
    <w:rsid w:val="006344C4"/>
    <w:rsid w:val="0064397E"/>
    <w:rsid w:val="00644184"/>
    <w:rsid w:val="006537CD"/>
    <w:rsid w:val="00653EF5"/>
    <w:rsid w:val="006567CB"/>
    <w:rsid w:val="00661B07"/>
    <w:rsid w:val="00675C94"/>
    <w:rsid w:val="006818A4"/>
    <w:rsid w:val="00693375"/>
    <w:rsid w:val="00693977"/>
    <w:rsid w:val="006A3BD6"/>
    <w:rsid w:val="006B1565"/>
    <w:rsid w:val="006B41AE"/>
    <w:rsid w:val="006D6A92"/>
    <w:rsid w:val="006D6AF4"/>
    <w:rsid w:val="006E094F"/>
    <w:rsid w:val="006F10EF"/>
    <w:rsid w:val="00710303"/>
    <w:rsid w:val="007117C7"/>
    <w:rsid w:val="00713EE0"/>
    <w:rsid w:val="007310D0"/>
    <w:rsid w:val="00734771"/>
    <w:rsid w:val="00735646"/>
    <w:rsid w:val="00736902"/>
    <w:rsid w:val="00750DC4"/>
    <w:rsid w:val="00753231"/>
    <w:rsid w:val="007560E0"/>
    <w:rsid w:val="00766364"/>
    <w:rsid w:val="0077328A"/>
    <w:rsid w:val="00776C80"/>
    <w:rsid w:val="00784121"/>
    <w:rsid w:val="0079610C"/>
    <w:rsid w:val="007A3D2B"/>
    <w:rsid w:val="007A599F"/>
    <w:rsid w:val="007A776B"/>
    <w:rsid w:val="007B05ED"/>
    <w:rsid w:val="007B0B86"/>
    <w:rsid w:val="007B6D34"/>
    <w:rsid w:val="007C11CF"/>
    <w:rsid w:val="007F1363"/>
    <w:rsid w:val="007F1BFC"/>
    <w:rsid w:val="007F6206"/>
    <w:rsid w:val="007F6670"/>
    <w:rsid w:val="00801BFD"/>
    <w:rsid w:val="00804348"/>
    <w:rsid w:val="008049C0"/>
    <w:rsid w:val="00812434"/>
    <w:rsid w:val="00816DDE"/>
    <w:rsid w:val="008227B7"/>
    <w:rsid w:val="00832783"/>
    <w:rsid w:val="00837BE9"/>
    <w:rsid w:val="00852C6D"/>
    <w:rsid w:val="008570CD"/>
    <w:rsid w:val="00857B1A"/>
    <w:rsid w:val="00860E9C"/>
    <w:rsid w:val="008776B0"/>
    <w:rsid w:val="008825D5"/>
    <w:rsid w:val="00883B08"/>
    <w:rsid w:val="00883CFD"/>
    <w:rsid w:val="00885990"/>
    <w:rsid w:val="0089210B"/>
    <w:rsid w:val="008950BF"/>
    <w:rsid w:val="0089563B"/>
    <w:rsid w:val="00896353"/>
    <w:rsid w:val="008A1107"/>
    <w:rsid w:val="008B40D3"/>
    <w:rsid w:val="008D6DB5"/>
    <w:rsid w:val="008E5D59"/>
    <w:rsid w:val="008F23D1"/>
    <w:rsid w:val="008F400F"/>
    <w:rsid w:val="009132B2"/>
    <w:rsid w:val="00926A3B"/>
    <w:rsid w:val="00964CA5"/>
    <w:rsid w:val="00965138"/>
    <w:rsid w:val="00966D58"/>
    <w:rsid w:val="00990306"/>
    <w:rsid w:val="009A5CEF"/>
    <w:rsid w:val="009A63E9"/>
    <w:rsid w:val="009A7E9C"/>
    <w:rsid w:val="009B37D7"/>
    <w:rsid w:val="009B5679"/>
    <w:rsid w:val="009B6161"/>
    <w:rsid w:val="009D759E"/>
    <w:rsid w:val="009E4074"/>
    <w:rsid w:val="00A072C8"/>
    <w:rsid w:val="00A12870"/>
    <w:rsid w:val="00A177A9"/>
    <w:rsid w:val="00A47F42"/>
    <w:rsid w:val="00A61214"/>
    <w:rsid w:val="00A703B1"/>
    <w:rsid w:val="00A743ED"/>
    <w:rsid w:val="00A82B32"/>
    <w:rsid w:val="00A91685"/>
    <w:rsid w:val="00A9296B"/>
    <w:rsid w:val="00A965E0"/>
    <w:rsid w:val="00AA51A1"/>
    <w:rsid w:val="00AA5F16"/>
    <w:rsid w:val="00AB233D"/>
    <w:rsid w:val="00AD5B1D"/>
    <w:rsid w:val="00AF47E3"/>
    <w:rsid w:val="00B0041F"/>
    <w:rsid w:val="00B02F45"/>
    <w:rsid w:val="00B07CFA"/>
    <w:rsid w:val="00B23FFA"/>
    <w:rsid w:val="00B268DF"/>
    <w:rsid w:val="00B337B6"/>
    <w:rsid w:val="00B372A0"/>
    <w:rsid w:val="00B409A9"/>
    <w:rsid w:val="00B50599"/>
    <w:rsid w:val="00B636AD"/>
    <w:rsid w:val="00B71127"/>
    <w:rsid w:val="00B8650D"/>
    <w:rsid w:val="00B949B5"/>
    <w:rsid w:val="00B97F1C"/>
    <w:rsid w:val="00BA562F"/>
    <w:rsid w:val="00BB547D"/>
    <w:rsid w:val="00BB7E13"/>
    <w:rsid w:val="00BD45E7"/>
    <w:rsid w:val="00BE21C6"/>
    <w:rsid w:val="00C002F2"/>
    <w:rsid w:val="00C059EF"/>
    <w:rsid w:val="00C122CC"/>
    <w:rsid w:val="00C30F31"/>
    <w:rsid w:val="00C3452A"/>
    <w:rsid w:val="00C43427"/>
    <w:rsid w:val="00C4363C"/>
    <w:rsid w:val="00C65E8B"/>
    <w:rsid w:val="00C81499"/>
    <w:rsid w:val="00C816A0"/>
    <w:rsid w:val="00C82ECE"/>
    <w:rsid w:val="00C906C7"/>
    <w:rsid w:val="00C94C0D"/>
    <w:rsid w:val="00CA1027"/>
    <w:rsid w:val="00CA67A5"/>
    <w:rsid w:val="00CB4C84"/>
    <w:rsid w:val="00CC3692"/>
    <w:rsid w:val="00CC6497"/>
    <w:rsid w:val="00CD03FF"/>
    <w:rsid w:val="00CD1CB4"/>
    <w:rsid w:val="00CD26E1"/>
    <w:rsid w:val="00CD35BB"/>
    <w:rsid w:val="00CD49AD"/>
    <w:rsid w:val="00D0143C"/>
    <w:rsid w:val="00D17A5F"/>
    <w:rsid w:val="00D272CF"/>
    <w:rsid w:val="00D30FFB"/>
    <w:rsid w:val="00D3337B"/>
    <w:rsid w:val="00D426E9"/>
    <w:rsid w:val="00D47A33"/>
    <w:rsid w:val="00D502CB"/>
    <w:rsid w:val="00D52F5C"/>
    <w:rsid w:val="00D5421E"/>
    <w:rsid w:val="00D55833"/>
    <w:rsid w:val="00D74882"/>
    <w:rsid w:val="00DA0969"/>
    <w:rsid w:val="00DB46B6"/>
    <w:rsid w:val="00DC77D2"/>
    <w:rsid w:val="00DD44F8"/>
    <w:rsid w:val="00DD6708"/>
    <w:rsid w:val="00DF0E4B"/>
    <w:rsid w:val="00DF14BB"/>
    <w:rsid w:val="00DF6BBD"/>
    <w:rsid w:val="00E032D3"/>
    <w:rsid w:val="00E104EE"/>
    <w:rsid w:val="00E15C09"/>
    <w:rsid w:val="00E15F73"/>
    <w:rsid w:val="00E3377F"/>
    <w:rsid w:val="00E47C61"/>
    <w:rsid w:val="00E61B46"/>
    <w:rsid w:val="00E63B08"/>
    <w:rsid w:val="00E65073"/>
    <w:rsid w:val="00E67600"/>
    <w:rsid w:val="00E70C9D"/>
    <w:rsid w:val="00E71BCD"/>
    <w:rsid w:val="00E83A1A"/>
    <w:rsid w:val="00E861E2"/>
    <w:rsid w:val="00E9165B"/>
    <w:rsid w:val="00E92020"/>
    <w:rsid w:val="00E933DB"/>
    <w:rsid w:val="00EA176A"/>
    <w:rsid w:val="00EA50C7"/>
    <w:rsid w:val="00EA7E4D"/>
    <w:rsid w:val="00EB372A"/>
    <w:rsid w:val="00EB659C"/>
    <w:rsid w:val="00EC062A"/>
    <w:rsid w:val="00EC2E60"/>
    <w:rsid w:val="00ED22FC"/>
    <w:rsid w:val="00ED5F64"/>
    <w:rsid w:val="00ED6224"/>
    <w:rsid w:val="00EE5E11"/>
    <w:rsid w:val="00EE7AD0"/>
    <w:rsid w:val="00EF1A66"/>
    <w:rsid w:val="00EF4396"/>
    <w:rsid w:val="00EF697F"/>
    <w:rsid w:val="00F01815"/>
    <w:rsid w:val="00F10C1A"/>
    <w:rsid w:val="00F26985"/>
    <w:rsid w:val="00F309CA"/>
    <w:rsid w:val="00F44B88"/>
    <w:rsid w:val="00F527F2"/>
    <w:rsid w:val="00F63954"/>
    <w:rsid w:val="00F64907"/>
    <w:rsid w:val="00F6666B"/>
    <w:rsid w:val="00F71E60"/>
    <w:rsid w:val="00F80033"/>
    <w:rsid w:val="00F92CB9"/>
    <w:rsid w:val="00FA13B8"/>
    <w:rsid w:val="00FB4399"/>
    <w:rsid w:val="00FB62F5"/>
    <w:rsid w:val="00FB707A"/>
    <w:rsid w:val="00FC1FAD"/>
    <w:rsid w:val="00FD05F1"/>
    <w:rsid w:val="00FE0DB7"/>
    <w:rsid w:val="00FE6844"/>
    <w:rsid w:val="00FF293C"/>
    <w:rsid w:val="010F19F3"/>
    <w:rsid w:val="013B4944"/>
    <w:rsid w:val="01454703"/>
    <w:rsid w:val="01527EDF"/>
    <w:rsid w:val="018067FB"/>
    <w:rsid w:val="022D2F01"/>
    <w:rsid w:val="029640FE"/>
    <w:rsid w:val="02BC3862"/>
    <w:rsid w:val="02E21879"/>
    <w:rsid w:val="02E60570"/>
    <w:rsid w:val="02F9764D"/>
    <w:rsid w:val="030376E3"/>
    <w:rsid w:val="032D5CD1"/>
    <w:rsid w:val="03373831"/>
    <w:rsid w:val="03463A74"/>
    <w:rsid w:val="03912F41"/>
    <w:rsid w:val="03991DF6"/>
    <w:rsid w:val="04025BED"/>
    <w:rsid w:val="044F34AF"/>
    <w:rsid w:val="04605018"/>
    <w:rsid w:val="04974AD0"/>
    <w:rsid w:val="04BD6A50"/>
    <w:rsid w:val="04D3046A"/>
    <w:rsid w:val="05181C4E"/>
    <w:rsid w:val="0562389D"/>
    <w:rsid w:val="05C66FC4"/>
    <w:rsid w:val="05E15C31"/>
    <w:rsid w:val="05E7509A"/>
    <w:rsid w:val="061D4AE9"/>
    <w:rsid w:val="06DE46EF"/>
    <w:rsid w:val="06E23AB3"/>
    <w:rsid w:val="07601EE6"/>
    <w:rsid w:val="084A5DB4"/>
    <w:rsid w:val="090449FD"/>
    <w:rsid w:val="094B1DE4"/>
    <w:rsid w:val="097A111F"/>
    <w:rsid w:val="09897237"/>
    <w:rsid w:val="09EF451D"/>
    <w:rsid w:val="0A0235DA"/>
    <w:rsid w:val="0A12645E"/>
    <w:rsid w:val="0A3E7253"/>
    <w:rsid w:val="0A425FE6"/>
    <w:rsid w:val="0A73514E"/>
    <w:rsid w:val="0AD67BFB"/>
    <w:rsid w:val="0B0D6E40"/>
    <w:rsid w:val="0B415214"/>
    <w:rsid w:val="0B516BC0"/>
    <w:rsid w:val="0B562A75"/>
    <w:rsid w:val="0B952DAB"/>
    <w:rsid w:val="0BE1433A"/>
    <w:rsid w:val="0C461683"/>
    <w:rsid w:val="0C8278CB"/>
    <w:rsid w:val="0CF956B3"/>
    <w:rsid w:val="0D181D64"/>
    <w:rsid w:val="0D9A5BFA"/>
    <w:rsid w:val="0DA63039"/>
    <w:rsid w:val="0DCE08EE"/>
    <w:rsid w:val="0DE105E0"/>
    <w:rsid w:val="0DFF6811"/>
    <w:rsid w:val="0E4C1F50"/>
    <w:rsid w:val="0EA61E94"/>
    <w:rsid w:val="0ED5373C"/>
    <w:rsid w:val="0EFC0AA1"/>
    <w:rsid w:val="0F0F6C58"/>
    <w:rsid w:val="0F1106AA"/>
    <w:rsid w:val="0F130F2E"/>
    <w:rsid w:val="0F3D38EF"/>
    <w:rsid w:val="0F7D25CB"/>
    <w:rsid w:val="0F94743F"/>
    <w:rsid w:val="10150A56"/>
    <w:rsid w:val="102913E9"/>
    <w:rsid w:val="10775032"/>
    <w:rsid w:val="10EC7A09"/>
    <w:rsid w:val="110B59FC"/>
    <w:rsid w:val="12071097"/>
    <w:rsid w:val="125D5B1F"/>
    <w:rsid w:val="12EA4DBC"/>
    <w:rsid w:val="13021765"/>
    <w:rsid w:val="130D010A"/>
    <w:rsid w:val="139B0D39"/>
    <w:rsid w:val="13A50343"/>
    <w:rsid w:val="13AE085B"/>
    <w:rsid w:val="13EB5139"/>
    <w:rsid w:val="13F2221A"/>
    <w:rsid w:val="14060AFB"/>
    <w:rsid w:val="14132A38"/>
    <w:rsid w:val="1424570B"/>
    <w:rsid w:val="14332AA2"/>
    <w:rsid w:val="14A44051"/>
    <w:rsid w:val="14AC39FA"/>
    <w:rsid w:val="155572BB"/>
    <w:rsid w:val="155A34EB"/>
    <w:rsid w:val="15FF01DE"/>
    <w:rsid w:val="16070E41"/>
    <w:rsid w:val="16A82624"/>
    <w:rsid w:val="16E92557"/>
    <w:rsid w:val="172C2525"/>
    <w:rsid w:val="174D4F79"/>
    <w:rsid w:val="17FD24FB"/>
    <w:rsid w:val="18365A0D"/>
    <w:rsid w:val="185A0968"/>
    <w:rsid w:val="186500A0"/>
    <w:rsid w:val="18DA6CE0"/>
    <w:rsid w:val="18F465E3"/>
    <w:rsid w:val="195A48D6"/>
    <w:rsid w:val="19CF2F48"/>
    <w:rsid w:val="1A0E074B"/>
    <w:rsid w:val="1A402B73"/>
    <w:rsid w:val="1A4E3448"/>
    <w:rsid w:val="1A9058A9"/>
    <w:rsid w:val="1AB30BDD"/>
    <w:rsid w:val="1AB570BD"/>
    <w:rsid w:val="1ABF618E"/>
    <w:rsid w:val="1AC57F78"/>
    <w:rsid w:val="1AE97045"/>
    <w:rsid w:val="1B235571"/>
    <w:rsid w:val="1B3F0ECF"/>
    <w:rsid w:val="1B783D41"/>
    <w:rsid w:val="1C126913"/>
    <w:rsid w:val="1C1F5136"/>
    <w:rsid w:val="1C7C43BA"/>
    <w:rsid w:val="1CAB5593"/>
    <w:rsid w:val="1CC01D49"/>
    <w:rsid w:val="1D2332D3"/>
    <w:rsid w:val="1D970CFC"/>
    <w:rsid w:val="1D9A014D"/>
    <w:rsid w:val="1D9C6312"/>
    <w:rsid w:val="1DCD471E"/>
    <w:rsid w:val="1DDC7057"/>
    <w:rsid w:val="1E306A8C"/>
    <w:rsid w:val="1E522444"/>
    <w:rsid w:val="1E63397F"/>
    <w:rsid w:val="1F705CA9"/>
    <w:rsid w:val="1FB16382"/>
    <w:rsid w:val="1FF94B77"/>
    <w:rsid w:val="20CC33B3"/>
    <w:rsid w:val="21333432"/>
    <w:rsid w:val="215A09BE"/>
    <w:rsid w:val="218B2455"/>
    <w:rsid w:val="21B05AC2"/>
    <w:rsid w:val="21C443C4"/>
    <w:rsid w:val="221C5C74"/>
    <w:rsid w:val="22710E72"/>
    <w:rsid w:val="22822780"/>
    <w:rsid w:val="239006C7"/>
    <w:rsid w:val="23B819CC"/>
    <w:rsid w:val="23C10881"/>
    <w:rsid w:val="23CA177F"/>
    <w:rsid w:val="24B85B6F"/>
    <w:rsid w:val="24D55312"/>
    <w:rsid w:val="24DB3BC4"/>
    <w:rsid w:val="24DE1906"/>
    <w:rsid w:val="24E0567E"/>
    <w:rsid w:val="250C5F30"/>
    <w:rsid w:val="25216A19"/>
    <w:rsid w:val="253C090A"/>
    <w:rsid w:val="259326F1"/>
    <w:rsid w:val="259952E8"/>
    <w:rsid w:val="259B403D"/>
    <w:rsid w:val="25B06DFF"/>
    <w:rsid w:val="2630659C"/>
    <w:rsid w:val="26551754"/>
    <w:rsid w:val="268E133C"/>
    <w:rsid w:val="26955FF5"/>
    <w:rsid w:val="26A5600A"/>
    <w:rsid w:val="26EF1BA9"/>
    <w:rsid w:val="26FC08B4"/>
    <w:rsid w:val="27765E26"/>
    <w:rsid w:val="27B64475"/>
    <w:rsid w:val="27E169B1"/>
    <w:rsid w:val="281C077C"/>
    <w:rsid w:val="28D91FCA"/>
    <w:rsid w:val="294E705B"/>
    <w:rsid w:val="2996630C"/>
    <w:rsid w:val="29D46AEC"/>
    <w:rsid w:val="2A3004CC"/>
    <w:rsid w:val="2AFC6024"/>
    <w:rsid w:val="2B312790"/>
    <w:rsid w:val="2BE47802"/>
    <w:rsid w:val="2BEF4826"/>
    <w:rsid w:val="2C061FF9"/>
    <w:rsid w:val="2C0B1233"/>
    <w:rsid w:val="2C932FD6"/>
    <w:rsid w:val="2CA5221B"/>
    <w:rsid w:val="2D126D46"/>
    <w:rsid w:val="2D834DF9"/>
    <w:rsid w:val="2DBD030B"/>
    <w:rsid w:val="2E25123C"/>
    <w:rsid w:val="2E642E7C"/>
    <w:rsid w:val="2F012479"/>
    <w:rsid w:val="2F552023"/>
    <w:rsid w:val="2F657713"/>
    <w:rsid w:val="2F8F5CD7"/>
    <w:rsid w:val="2FDC4C9F"/>
    <w:rsid w:val="2FE7227D"/>
    <w:rsid w:val="2FED2BB4"/>
    <w:rsid w:val="3008511A"/>
    <w:rsid w:val="301F2D5C"/>
    <w:rsid w:val="305F7D9F"/>
    <w:rsid w:val="30B57CC4"/>
    <w:rsid w:val="30D05F4C"/>
    <w:rsid w:val="30DC13F0"/>
    <w:rsid w:val="31411253"/>
    <w:rsid w:val="322C3CB1"/>
    <w:rsid w:val="32714877"/>
    <w:rsid w:val="32EC3440"/>
    <w:rsid w:val="33072028"/>
    <w:rsid w:val="3312147C"/>
    <w:rsid w:val="33244988"/>
    <w:rsid w:val="33686F6B"/>
    <w:rsid w:val="33845DB9"/>
    <w:rsid w:val="338D077F"/>
    <w:rsid w:val="33CD6DCE"/>
    <w:rsid w:val="33D12D62"/>
    <w:rsid w:val="342A06C4"/>
    <w:rsid w:val="342A4220"/>
    <w:rsid w:val="342C02B3"/>
    <w:rsid w:val="3474193F"/>
    <w:rsid w:val="34806C8E"/>
    <w:rsid w:val="34967B08"/>
    <w:rsid w:val="34CB237A"/>
    <w:rsid w:val="35645510"/>
    <w:rsid w:val="35956011"/>
    <w:rsid w:val="35AD6EB7"/>
    <w:rsid w:val="36010FB1"/>
    <w:rsid w:val="36397EFF"/>
    <w:rsid w:val="36BD5820"/>
    <w:rsid w:val="36C26D87"/>
    <w:rsid w:val="36D84407"/>
    <w:rsid w:val="370C2303"/>
    <w:rsid w:val="37461371"/>
    <w:rsid w:val="374C2700"/>
    <w:rsid w:val="3756532C"/>
    <w:rsid w:val="379E4696"/>
    <w:rsid w:val="37A03524"/>
    <w:rsid w:val="37B23AF9"/>
    <w:rsid w:val="37B564F7"/>
    <w:rsid w:val="37EA17DA"/>
    <w:rsid w:val="38237904"/>
    <w:rsid w:val="384F06F9"/>
    <w:rsid w:val="38BB5D8F"/>
    <w:rsid w:val="38D53666"/>
    <w:rsid w:val="39235CD0"/>
    <w:rsid w:val="39750149"/>
    <w:rsid w:val="39B06F76"/>
    <w:rsid w:val="39D42649"/>
    <w:rsid w:val="39E22EB8"/>
    <w:rsid w:val="3A67294A"/>
    <w:rsid w:val="3AA94156"/>
    <w:rsid w:val="3ADB28BD"/>
    <w:rsid w:val="3AEC01CF"/>
    <w:rsid w:val="3B0B5B64"/>
    <w:rsid w:val="3B457B92"/>
    <w:rsid w:val="3B47390A"/>
    <w:rsid w:val="3B4E6A46"/>
    <w:rsid w:val="3B7E311A"/>
    <w:rsid w:val="3BDB16AA"/>
    <w:rsid w:val="3C0B2B89"/>
    <w:rsid w:val="3C0C4329"/>
    <w:rsid w:val="3C7C5835"/>
    <w:rsid w:val="3CB80C06"/>
    <w:rsid w:val="3CCD4382"/>
    <w:rsid w:val="3CD427F4"/>
    <w:rsid w:val="3CEA6B01"/>
    <w:rsid w:val="3D1B4D1A"/>
    <w:rsid w:val="3D2A703F"/>
    <w:rsid w:val="3D9A2417"/>
    <w:rsid w:val="3DA82244"/>
    <w:rsid w:val="3DBF3C2B"/>
    <w:rsid w:val="3DF338D5"/>
    <w:rsid w:val="3E4745F6"/>
    <w:rsid w:val="3EC86B10"/>
    <w:rsid w:val="3EF23B8C"/>
    <w:rsid w:val="40B90E06"/>
    <w:rsid w:val="4202737C"/>
    <w:rsid w:val="4248180C"/>
    <w:rsid w:val="42552DB0"/>
    <w:rsid w:val="42601FA2"/>
    <w:rsid w:val="429C39D4"/>
    <w:rsid w:val="434D7F2B"/>
    <w:rsid w:val="438A7EF8"/>
    <w:rsid w:val="438F5A8A"/>
    <w:rsid w:val="43A1743C"/>
    <w:rsid w:val="43DE6DD5"/>
    <w:rsid w:val="448F287C"/>
    <w:rsid w:val="44AE0837"/>
    <w:rsid w:val="44DE28E9"/>
    <w:rsid w:val="44ED62F5"/>
    <w:rsid w:val="457F0202"/>
    <w:rsid w:val="458B6AE9"/>
    <w:rsid w:val="45A007E6"/>
    <w:rsid w:val="45C00171"/>
    <w:rsid w:val="45D17124"/>
    <w:rsid w:val="45E00BE3"/>
    <w:rsid w:val="45E4394D"/>
    <w:rsid w:val="463765F8"/>
    <w:rsid w:val="464A0752"/>
    <w:rsid w:val="464A32B7"/>
    <w:rsid w:val="467E0A66"/>
    <w:rsid w:val="46E72E33"/>
    <w:rsid w:val="46F22218"/>
    <w:rsid w:val="4723347D"/>
    <w:rsid w:val="47727699"/>
    <w:rsid w:val="48180B08"/>
    <w:rsid w:val="488175D2"/>
    <w:rsid w:val="489F6B33"/>
    <w:rsid w:val="48C91E02"/>
    <w:rsid w:val="48F65F2A"/>
    <w:rsid w:val="48FE79D6"/>
    <w:rsid w:val="4908096E"/>
    <w:rsid w:val="49777AB0"/>
    <w:rsid w:val="49AD1724"/>
    <w:rsid w:val="49F40F24"/>
    <w:rsid w:val="4A2C1B26"/>
    <w:rsid w:val="4A3D2AA8"/>
    <w:rsid w:val="4A3E412A"/>
    <w:rsid w:val="4A89557F"/>
    <w:rsid w:val="4B2704DE"/>
    <w:rsid w:val="4B447E66"/>
    <w:rsid w:val="4B5F4B9C"/>
    <w:rsid w:val="4B6F45A2"/>
    <w:rsid w:val="4BBC17AA"/>
    <w:rsid w:val="4BE8122B"/>
    <w:rsid w:val="4C481290"/>
    <w:rsid w:val="4C7B1665"/>
    <w:rsid w:val="4E092CA1"/>
    <w:rsid w:val="4E0E6492"/>
    <w:rsid w:val="4E455264"/>
    <w:rsid w:val="4E673416"/>
    <w:rsid w:val="4F371C8D"/>
    <w:rsid w:val="4F644633"/>
    <w:rsid w:val="50183FDB"/>
    <w:rsid w:val="503E1327"/>
    <w:rsid w:val="504A7CCC"/>
    <w:rsid w:val="507E1724"/>
    <w:rsid w:val="50EC4197"/>
    <w:rsid w:val="51A6661E"/>
    <w:rsid w:val="51B55619"/>
    <w:rsid w:val="51EE7F7C"/>
    <w:rsid w:val="522301DD"/>
    <w:rsid w:val="524B4509"/>
    <w:rsid w:val="52733F35"/>
    <w:rsid w:val="528B1ED6"/>
    <w:rsid w:val="52B61649"/>
    <w:rsid w:val="52E773DC"/>
    <w:rsid w:val="52EF283C"/>
    <w:rsid w:val="52FC2DD4"/>
    <w:rsid w:val="532E7431"/>
    <w:rsid w:val="538F3C48"/>
    <w:rsid w:val="53984164"/>
    <w:rsid w:val="53A45945"/>
    <w:rsid w:val="53C438F2"/>
    <w:rsid w:val="540631DB"/>
    <w:rsid w:val="54216F96"/>
    <w:rsid w:val="54866DF9"/>
    <w:rsid w:val="55313209"/>
    <w:rsid w:val="55665B55"/>
    <w:rsid w:val="55684751"/>
    <w:rsid w:val="55850EFA"/>
    <w:rsid w:val="55930180"/>
    <w:rsid w:val="55A21A11"/>
    <w:rsid w:val="55B31E70"/>
    <w:rsid w:val="565E627F"/>
    <w:rsid w:val="569972B8"/>
    <w:rsid w:val="577365E1"/>
    <w:rsid w:val="58256929"/>
    <w:rsid w:val="584119B5"/>
    <w:rsid w:val="58637BCC"/>
    <w:rsid w:val="5866766D"/>
    <w:rsid w:val="58E144F6"/>
    <w:rsid w:val="596811C3"/>
    <w:rsid w:val="5A07278A"/>
    <w:rsid w:val="5A3D1A35"/>
    <w:rsid w:val="5A5E374B"/>
    <w:rsid w:val="5A9B11BD"/>
    <w:rsid w:val="5AEC1F32"/>
    <w:rsid w:val="5AF867D4"/>
    <w:rsid w:val="5AFD6893"/>
    <w:rsid w:val="5B173F22"/>
    <w:rsid w:val="5B643820"/>
    <w:rsid w:val="5BA5225B"/>
    <w:rsid w:val="5BD007B0"/>
    <w:rsid w:val="5C7D6D34"/>
    <w:rsid w:val="5CA35125"/>
    <w:rsid w:val="5CD54DC2"/>
    <w:rsid w:val="5D142F08"/>
    <w:rsid w:val="5D8714F7"/>
    <w:rsid w:val="5DB524FD"/>
    <w:rsid w:val="5DC42740"/>
    <w:rsid w:val="5DDE6A81"/>
    <w:rsid w:val="5DE54B90"/>
    <w:rsid w:val="5E602469"/>
    <w:rsid w:val="5E6F4DA2"/>
    <w:rsid w:val="5EB97DCB"/>
    <w:rsid w:val="5EF86DE5"/>
    <w:rsid w:val="5F22140E"/>
    <w:rsid w:val="5F592D75"/>
    <w:rsid w:val="5FF26C90"/>
    <w:rsid w:val="6054739E"/>
    <w:rsid w:val="605765F1"/>
    <w:rsid w:val="6071407C"/>
    <w:rsid w:val="60E4448C"/>
    <w:rsid w:val="61021EFD"/>
    <w:rsid w:val="610C6769"/>
    <w:rsid w:val="61295875"/>
    <w:rsid w:val="61355E2F"/>
    <w:rsid w:val="61A134C4"/>
    <w:rsid w:val="62285994"/>
    <w:rsid w:val="627A56DF"/>
    <w:rsid w:val="62FD6A68"/>
    <w:rsid w:val="63051B4E"/>
    <w:rsid w:val="637D3ABD"/>
    <w:rsid w:val="63A63014"/>
    <w:rsid w:val="645A5BAC"/>
    <w:rsid w:val="64984234"/>
    <w:rsid w:val="64BC4A78"/>
    <w:rsid w:val="65171E03"/>
    <w:rsid w:val="65353750"/>
    <w:rsid w:val="654E5711"/>
    <w:rsid w:val="6550631D"/>
    <w:rsid w:val="65602A06"/>
    <w:rsid w:val="65847385"/>
    <w:rsid w:val="65B8702E"/>
    <w:rsid w:val="66611474"/>
    <w:rsid w:val="66807B4C"/>
    <w:rsid w:val="668B029F"/>
    <w:rsid w:val="66D57566"/>
    <w:rsid w:val="66DC4728"/>
    <w:rsid w:val="66E53E53"/>
    <w:rsid w:val="66F01891"/>
    <w:rsid w:val="670D5DDA"/>
    <w:rsid w:val="67340937"/>
    <w:rsid w:val="67B779CB"/>
    <w:rsid w:val="67D619EE"/>
    <w:rsid w:val="67FD5388"/>
    <w:rsid w:val="686B3FC7"/>
    <w:rsid w:val="689B3FAD"/>
    <w:rsid w:val="68F22857"/>
    <w:rsid w:val="693267DE"/>
    <w:rsid w:val="69A1521B"/>
    <w:rsid w:val="69AB0AE9"/>
    <w:rsid w:val="69EA30F4"/>
    <w:rsid w:val="69EB1780"/>
    <w:rsid w:val="6A4946F9"/>
    <w:rsid w:val="6A503CD9"/>
    <w:rsid w:val="6AD541DF"/>
    <w:rsid w:val="6AF02DC7"/>
    <w:rsid w:val="6B0074AE"/>
    <w:rsid w:val="6B47242E"/>
    <w:rsid w:val="6BC404DB"/>
    <w:rsid w:val="6BDF5191"/>
    <w:rsid w:val="6BE411B8"/>
    <w:rsid w:val="6BF84629"/>
    <w:rsid w:val="6C7A233B"/>
    <w:rsid w:val="6C9C1458"/>
    <w:rsid w:val="6CA574CD"/>
    <w:rsid w:val="6CB22A29"/>
    <w:rsid w:val="6CCF5389"/>
    <w:rsid w:val="6D354740"/>
    <w:rsid w:val="6D373845"/>
    <w:rsid w:val="6E276AFF"/>
    <w:rsid w:val="6E3B6A4F"/>
    <w:rsid w:val="6E681C8B"/>
    <w:rsid w:val="6EDB7BE0"/>
    <w:rsid w:val="6F6618A9"/>
    <w:rsid w:val="6FFF21F4"/>
    <w:rsid w:val="70271038"/>
    <w:rsid w:val="70450A73"/>
    <w:rsid w:val="715C7408"/>
    <w:rsid w:val="71A861A9"/>
    <w:rsid w:val="72133F6A"/>
    <w:rsid w:val="7262394B"/>
    <w:rsid w:val="726A1369"/>
    <w:rsid w:val="727A7B45"/>
    <w:rsid w:val="72DA6836"/>
    <w:rsid w:val="739C7F8F"/>
    <w:rsid w:val="73BC23E0"/>
    <w:rsid w:val="73F531FC"/>
    <w:rsid w:val="7434641A"/>
    <w:rsid w:val="74BB0F7F"/>
    <w:rsid w:val="74F040EF"/>
    <w:rsid w:val="7520539D"/>
    <w:rsid w:val="7530273D"/>
    <w:rsid w:val="75466405"/>
    <w:rsid w:val="755C0CA5"/>
    <w:rsid w:val="75632D3D"/>
    <w:rsid w:val="75760712"/>
    <w:rsid w:val="75B275F6"/>
    <w:rsid w:val="75D91027"/>
    <w:rsid w:val="76946280"/>
    <w:rsid w:val="76C951E1"/>
    <w:rsid w:val="76D06225"/>
    <w:rsid w:val="77381D7D"/>
    <w:rsid w:val="77447D75"/>
    <w:rsid w:val="7751028F"/>
    <w:rsid w:val="77747081"/>
    <w:rsid w:val="77754D7F"/>
    <w:rsid w:val="777FBCD4"/>
    <w:rsid w:val="77A57835"/>
    <w:rsid w:val="77AB254F"/>
    <w:rsid w:val="77C51C4F"/>
    <w:rsid w:val="781C2266"/>
    <w:rsid w:val="782B3690"/>
    <w:rsid w:val="78434E7D"/>
    <w:rsid w:val="789D40D9"/>
    <w:rsid w:val="789F751B"/>
    <w:rsid w:val="78BB2C66"/>
    <w:rsid w:val="78C22246"/>
    <w:rsid w:val="78DC4128"/>
    <w:rsid w:val="78DF52AD"/>
    <w:rsid w:val="79160F84"/>
    <w:rsid w:val="793D18CD"/>
    <w:rsid w:val="79517074"/>
    <w:rsid w:val="79A27982"/>
    <w:rsid w:val="79B12052"/>
    <w:rsid w:val="7A266805"/>
    <w:rsid w:val="7A284EA6"/>
    <w:rsid w:val="7A2E4C88"/>
    <w:rsid w:val="7A4B0DF1"/>
    <w:rsid w:val="7AC05B99"/>
    <w:rsid w:val="7B1D5512"/>
    <w:rsid w:val="7B4E0BB2"/>
    <w:rsid w:val="7B9003DA"/>
    <w:rsid w:val="7BAB6FC2"/>
    <w:rsid w:val="7BF344C5"/>
    <w:rsid w:val="7C2F7BF3"/>
    <w:rsid w:val="7C5A4544"/>
    <w:rsid w:val="7C5B649E"/>
    <w:rsid w:val="7D265EAA"/>
    <w:rsid w:val="7D272678"/>
    <w:rsid w:val="7D6F401F"/>
    <w:rsid w:val="7DB14637"/>
    <w:rsid w:val="7DB303AF"/>
    <w:rsid w:val="7DD1451E"/>
    <w:rsid w:val="7F3948E4"/>
    <w:rsid w:val="FE3E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uiPriority w:val="99"/>
    <w:rPr>
      <w:rFonts w:ascii="宋体" w:eastAsia="宋体"/>
      <w:sz w:val="18"/>
      <w:szCs w:val="18"/>
    </w:rPr>
  </w:style>
  <w:style w:type="paragraph" w:styleId="4">
    <w:name w:val="Body Text"/>
    <w:basedOn w:val="1"/>
    <w:link w:val="2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toc 3"/>
    <w:basedOn w:val="1"/>
    <w:next w:val="1"/>
    <w:unhideWhenUsed/>
    <w:qFormat/>
    <w:uiPriority w:val="39"/>
    <w:pPr>
      <w:ind w:left="840" w:leftChars="400"/>
    </w:pPr>
  </w:style>
  <w:style w:type="paragraph" w:styleId="6">
    <w:name w:val="Balloon Text"/>
    <w:basedOn w:val="1"/>
    <w:link w:val="16"/>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字符"/>
    <w:basedOn w:val="12"/>
    <w:link w:val="6"/>
    <w:semiHidden/>
    <w:qFormat/>
    <w:uiPriority w:val="99"/>
    <w:rPr>
      <w:sz w:val="18"/>
      <w:szCs w:val="18"/>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customStyle="1"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字符"/>
    <w:basedOn w:val="12"/>
    <w:link w:val="19"/>
    <w:qFormat/>
    <w:uiPriority w:val="1"/>
    <w:rPr>
      <w:kern w:val="0"/>
      <w:sz w:val="22"/>
    </w:rPr>
  </w:style>
  <w:style w:type="character" w:customStyle="1" w:styleId="21">
    <w:name w:val="正文文本 字符"/>
    <w:basedOn w:val="12"/>
    <w:link w:val="4"/>
    <w:qFormat/>
    <w:uiPriority w:val="1"/>
    <w:rPr>
      <w:rFonts w:ascii="Times New Roman" w:hAnsi="Times New Roman" w:eastAsia="Times New Roman" w:cs="Times New Roman"/>
      <w:lang w:eastAsia="en-US"/>
    </w:rPr>
  </w:style>
  <w:style w:type="paragraph" w:customStyle="1" w:styleId="22">
    <w:name w:val="TOC22"/>
    <w:basedOn w:val="9"/>
    <w:qFormat/>
    <w:uiPriority w:val="0"/>
    <w:pPr>
      <w:tabs>
        <w:tab w:val="right" w:leader="dot" w:pos="8306"/>
      </w:tabs>
    </w:pPr>
    <w:rPr>
      <w:rFonts w:ascii="宋体" w:hAnsi="宋体" w:eastAsia="宋体" w:cs="宋体"/>
      <w:sz w:val="36"/>
      <w:szCs w:val="36"/>
    </w:rPr>
  </w:style>
  <w:style w:type="character" w:customStyle="1" w:styleId="23">
    <w:name w:val="文档结构图 字符"/>
    <w:basedOn w:val="12"/>
    <w:link w:val="3"/>
    <w:semiHidden/>
    <w:qFormat/>
    <w:uiPriority w:val="99"/>
    <w:rPr>
      <w:rFonts w:ascii="宋体" w:hAnsiTheme="minorHAnsi" w:cstheme="minorBidi"/>
      <w:kern w:val="2"/>
      <w:sz w:val="18"/>
      <w:szCs w:val="18"/>
    </w:rPr>
  </w:style>
  <w:style w:type="character" w:customStyle="1" w:styleId="24">
    <w:name w:val="标题 2 字符"/>
    <w:basedOn w:val="12"/>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35</Pages>
  <Words>3941</Words>
  <Characters>22464</Characters>
  <Lines>187</Lines>
  <Paragraphs>52</Paragraphs>
  <TotalTime>5</TotalTime>
  <ScaleCrop>false</ScaleCrop>
  <LinksUpToDate>false</LinksUpToDate>
  <CharactersWithSpaces>26353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2022-12-02T07:03:00Z</dcterms:created>
  <dc:creator>刘菁</dc:creator>
  <cp:lastModifiedBy>Administrator</cp:lastModifiedBy>
  <cp:lastPrinted>2025-09-28T04:05:00Z</cp:lastPrinted>
  <dcterms:modified xsi:type="dcterms:W3CDTF">2025-09-28T10:34:15Z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90B327C4B16C4A1FAC1C86872DD0AAD6_13</vt:lpwstr>
  </property>
  <property fmtid="{D5CDD505-2E9C-101B-9397-08002B2CF9AE}" pid="3" name="KSOProductBuildVer">
    <vt:lpwstr>2052-12.8.2.19315</vt:lpwstr>
  </property>
  <property fmtid="{D5CDD505-2E9C-101B-9397-08002B2CF9AE}" pid="4" name="KSOTemplateDocerSaveRecord">
    <vt:lpwstr>eyJoZGlkIjoiZGQwYTQyNTQxNGRlZjI2YjNjY2Q1YzI5NzE3MTlkNjAiLCJ1c2VySWQiOiI1NjE1MDAzMzIifQ==</vt:lpwstr>
  </property>
  <property fmtid="{D5CDD505-2E9C-101B-9397-08002B2CF9AE}" pid="5" name="hmcheck_markmode">
    <vt:i4>0</vt:i4>
  </property>
  <property fmtid="{D5CDD505-2E9C-101B-9397-08002B2CF9AE}" pid="6" name="hmcheck_taskpanetype">
    <vt:i4>1</vt:i4>
  </property>
</Properties>
</file>