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center"/>
        <w:rPr>
          <w:rFonts w:eastAsia="黑体"/>
          <w:sz w:val="44"/>
          <w:szCs w:val="44"/>
          <w:u w:val="none"/>
        </w:rPr>
      </w:pPr>
      <w:r>
        <w:rPr>
          <w:rFonts w:hint="eastAsia" w:eastAsia="黑体"/>
          <w:sz w:val="44"/>
          <w:szCs w:val="44"/>
          <w:u w:val="none"/>
        </w:rPr>
        <w:t>福建省体育行政执法文书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center"/>
        <w:rPr>
          <w:rFonts w:eastAsia="仿宋_GB2312"/>
          <w:sz w:val="44"/>
          <w:szCs w:val="44"/>
          <w:u w:val="none"/>
        </w:rPr>
      </w:pPr>
      <w:r>
        <w:rPr>
          <w:rFonts w:eastAsia="黑体"/>
          <w:sz w:val="44"/>
          <w:szCs w:val="4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</wp:posOffset>
                </wp:positionV>
                <wp:extent cx="5262245" cy="16510"/>
                <wp:effectExtent l="0" t="19050" r="14605" b="21590"/>
                <wp:wrapNone/>
                <wp:docPr id="1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2245" cy="1651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3pt;margin-top:1.15pt;height:1.3pt;width:414.35pt;z-index:251659264;mso-width-relative:page;mso-height-relative:page;" filled="f" stroked="t" coordsize="21600,21600" o:gfxdata="UEsDBAoAAAAAAIdO4kAAAAAAAAAAAAAAAAAEAAAAZHJzL1BLAwQUAAAACACHTuJAuxyxZtIAAAAF&#10;AQAADwAAAGRycy9kb3ducmV2LnhtbE2Py07DMBBF90j8gzVI7KjdNiolxKkQgu4JldhO42kcET+I&#10;nab8PcMKlqN7de6ZandxgzjTmPrgNSwXCgT5NpjedxoO7693WxApozc4BE8avinBrr6+qrA0YfZv&#10;dG5yJxjiU4kabM6xlDK1lhymRYjkOTuF0WHmc+ykGXFmuBvkSqmNdNh7XrAY6dlS+9lMTsMqPu3n&#10;ML3Y2GD+OEh12hdfUuvbm6V6BJHpkv/K8KvP6lCz0zFM3iQxaNjwJ5lRaxCcbtfFPYijhuIBZF3J&#10;//b1D1BLAwQUAAAACACHTuJADrA3vdwBAACeAwAADgAAAGRycy9lMm9Eb2MueG1srVNLjhMxEN0j&#10;zR0s7yf9gUSjVjqzmDBsEEQCZl/xp9uSf7I96eQsXIMVG44z16DsDhk+G4TohWW7yq/qvXq9vj0a&#10;TQ4iROVsT5tFTYmwzHFlh55++nh/fUNJTGA5aGdFT08i0tvN1Yv15DvRutFpLgJBEBu7yfd0TMl3&#10;VRXZKAzEhfPCYlC6YCDhMQwVDzAhutFVW9eranKB++CYiBFvt3OQbgq+lIKl91JGkYjuKfaWyhrK&#10;us9rtVlDNwTwo2LnNuAfujCgLBa9QG0hAXkM6g8oo1hw0cm0YM5UTkrFROGAbJr6NzYfRvCicEFx&#10;or/IFP8fLHt32AWiOM6uocSCwRk9ff7y9PUbaduszuRjh0l3dhfOp+h3IVM9ymCI1Mo/4ONCHumQ&#10;Y9H2dNFWHBNheLlsV237akkJw1izWjZF+2qGyXA+xPRGOEPypqda2UwdOji8jQlLY+qPlHytLZl6&#10;+vKmqXGsDNA6UkPCrfFIhu91eRydVvxeaZ2fxDDs73QgB8hmKF9miMC/pOUqW4jjnFdCs01GAfy1&#10;5SSdPKpk0c8092AEp0QLtH/eISB0CZT+m0wsrS12kEWeZc27veMnHMqjD2oYUYqmdJkjaILS79mw&#10;2WU/nwvS82+1+Q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7HLFm0gAAAAUBAAAPAAAAAAAAAAEA&#10;IAAAACIAAABkcnMvZG93bnJldi54bWxQSwECFAAUAAAACACHTuJADrA3vdwBAACeAwAADgAAAAAA&#10;AAABACAAAAAhAQAAZHJzL2Uyb0RvYy54bWxQSwUGAAAAAAYABgBZAQAAb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sz w:val="44"/>
          <w:szCs w:val="44"/>
          <w:u w:val="none"/>
        </w:rPr>
        <w:t>行政处罚</w:t>
      </w:r>
      <w:r>
        <w:rPr>
          <w:rFonts w:hint="eastAsia" w:eastAsia="黑体"/>
          <w:sz w:val="44"/>
          <w:szCs w:val="44"/>
          <w:u w:val="none"/>
          <w:lang w:val="en-US" w:eastAsia="zh-CN"/>
        </w:rPr>
        <w:t>决定</w:t>
      </w:r>
      <w:r>
        <w:rPr>
          <w:rFonts w:hint="eastAsia" w:eastAsia="黑体"/>
          <w:sz w:val="44"/>
          <w:szCs w:val="44"/>
          <w:u w:val="none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right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(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台</w:t>
      </w:r>
      <w:r>
        <w:rPr>
          <w:rFonts w:hint="eastAsia" w:ascii="仿宋_GB2312" w:eastAsia="仿宋_GB2312"/>
          <w:sz w:val="32"/>
          <w:szCs w:val="32"/>
          <w:u w:val="none"/>
        </w:rPr>
        <w:t>)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文综</w:t>
      </w:r>
      <w:r>
        <w:rPr>
          <w:rFonts w:hint="eastAsia" w:ascii="仿宋_GB2312" w:eastAsia="仿宋_GB2312"/>
          <w:sz w:val="32"/>
          <w:szCs w:val="32"/>
          <w:u w:val="none"/>
        </w:rPr>
        <w:t>罚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字</w:t>
      </w:r>
      <w:r>
        <w:rPr>
          <w:rFonts w:hint="eastAsia" w:ascii="仿宋_GB2312" w:eastAsia="仿宋_GB2312"/>
          <w:sz w:val="32"/>
          <w:szCs w:val="32"/>
          <w:u w:val="none"/>
        </w:rPr>
        <w:t>〔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  <w:u w:val="none"/>
        </w:rPr>
        <w:t>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04</w:t>
      </w:r>
      <w:r>
        <w:rPr>
          <w:rFonts w:hint="eastAsia" w:ascii="仿宋_GB2312" w:eastAsia="仿宋_GB2312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baseline"/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当事人基本情况：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none"/>
          <w:lang w:val="en-US" w:eastAsia="zh-CN"/>
        </w:rPr>
        <w:t>福州市台江区xxxx文化传播有限公司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，法定代表人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none"/>
          <w:lang w:val="en-US" w:eastAsia="zh-CN"/>
        </w:rPr>
        <w:t>林x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，营业执照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none"/>
          <w:lang w:val="en-US" w:eastAsia="zh-CN"/>
        </w:rPr>
        <w:t>统一社会信用代码913502035xxxxxxx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，地址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none"/>
          <w:lang w:val="en-US" w:eastAsia="zh-CN"/>
        </w:rPr>
        <w:t>福建省福州市台江区八一七中路xxx号福州工xxxxx中心负x层和x层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baseline"/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</w:rPr>
        <w:t>根据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福州市公安局洋中派出所线索移送函</w:t>
      </w:r>
      <w:r>
        <w:rPr>
          <w:rFonts w:hint="eastAsia" w:eastAsia="仿宋_GB2312"/>
          <w:sz w:val="32"/>
          <w:szCs w:val="32"/>
          <w:u w:val="none"/>
        </w:rPr>
        <w:t>，本机关于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hint="eastAsia" w:eastAsia="仿宋_GB2312"/>
          <w:sz w:val="32"/>
          <w:szCs w:val="32"/>
          <w:u w:val="none"/>
        </w:rPr>
        <w:t>年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eastAsia="仿宋_GB2312"/>
          <w:sz w:val="32"/>
          <w:szCs w:val="32"/>
          <w:u w:val="none"/>
        </w:rPr>
        <w:t>月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eastAsia="仿宋_GB2312"/>
          <w:sz w:val="32"/>
          <w:szCs w:val="32"/>
          <w:u w:val="none"/>
        </w:rPr>
        <w:t>日对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福州市台江区xxxx文化传播有限公司</w:t>
      </w:r>
      <w:r>
        <w:rPr>
          <w:rFonts w:hint="eastAsia" w:ascii="仿宋_GB2312" w:eastAsia="仿宋_GB2312"/>
          <w:sz w:val="32"/>
          <w:szCs w:val="32"/>
          <w:u w:val="none"/>
        </w:rPr>
        <w:t>未按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  <w:u w:val="none"/>
        </w:rPr>
        <w:t>安排规定数量和资质的救生员上岗</w:t>
      </w:r>
      <w:r>
        <w:rPr>
          <w:rFonts w:hint="eastAsia" w:eastAsia="仿宋_GB2312"/>
          <w:sz w:val="32"/>
          <w:szCs w:val="32"/>
          <w:u w:val="none"/>
        </w:rPr>
        <w:t>的行为予以立案调查。现已查明，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2022年6月4日，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none"/>
          <w:lang w:val="en-US" w:eastAsia="zh-CN"/>
        </w:rPr>
        <w:t>福州市台江区xxx体育文化传播有限公司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营业期间，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未按要求安排规定数量和资质的救生员上岗。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baseline"/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</w:rPr>
        <w:t>本机关认为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福州市台江区xxx体育文化传播有限公司于2021年2月23日，因违反《福建省公共游泳场所管理办法》第十七条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：“公共游泳场所应当依法配备取得资格证书的游泳救生员。游泳救生员应当持证上岗，并佩戴能标明其身份的醒目标识。水面面积在250平方米及以下的游泳池，应当至少配备游泳救生员3人；水面面积在250平方米以上的游泳池，应当按面积每增加250平方米及以内，增加1人的比例配备游泳救生员。天然游泳场所按每360平方米水面面积配备1人的比例配备游泳救生员。”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规定，接受过台江区文化体育和旅游局的行政处罚，本案再次违反同一规定，属于逾期不改正，</w:t>
      </w:r>
      <w:r>
        <w:rPr>
          <w:rFonts w:hint="eastAsia" w:eastAsia="仿宋_GB2312"/>
          <w:sz w:val="32"/>
          <w:szCs w:val="32"/>
          <w:u w:val="none"/>
        </w:rPr>
        <w:t>已构成违法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具体有</w:t>
      </w:r>
      <w:r>
        <w:rPr>
          <w:rFonts w:hint="eastAsia" w:eastAsia="仿宋_GB2312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1、福州市公安局台江分局洋中派出所线索移送函(含监控视频)(1份)，证明案件来源于公安提供的线索；2、台江区文化体育和旅游局执法人员制作的视频截图(3张)，证明福州市台江区xxxx文化传播有限公司xxxxx游泳馆现场有4名“救生员”在岗；3、福州市台江区xxxx文化传播有限公司《营业执照》复印件(1份)、《高危险性体育项目经营许可证(负一层)》(1份)，证明了福州市台江区xxxx文化传播有限公司的经营主体合法；4、福州市台江区xxxx文化传播有限公司林策的身份证复印件(1份)，福州市台江区xxxxx文化传播有限公xxxx游泳馆现场管理员魏xx的身份证复印件(1份)，福州市台江区xxxx体育文化传播有限公司xxxxx游泳馆救生员江x的身份证复印件(1份)，委托书(1份)，证明身份及委托情况；5、福州市台江区xxx体育文化传播有限公司xxxxx游泳馆现场管理员魏xx的调查询问笔录(2份)，福州市台江区xxx体育文化传播有限公司xxxxx游泳馆救生员江x的调查询问笔录(1份)，证明案发时福州市台江区xxx体育文化传播有限公司仅有4名工作人员在岗，且其中3名无“救生员资格证书”，未遵守《福建省公共游泳场所管理办法》第十七条的规定；6、《游泳场所体育设施符合相关国家标准的说明性材料》(1份)，证明福州市台江区xxx体育文化传播有限公司xxxxx游泳馆的游泳池面积为1250平方米。”的</w:t>
      </w:r>
      <w:r>
        <w:rPr>
          <w:rFonts w:hint="eastAsia" w:eastAsia="仿宋_GB2312"/>
          <w:sz w:val="32"/>
          <w:szCs w:val="32"/>
          <w:u w:val="none"/>
        </w:rPr>
        <w:t>证据为凭。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现依据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《福建省公共游泳场所管理办法》第三十一条和《福州市台江区文化体育局行政处罚裁量标准》的规定</w:t>
      </w:r>
      <w:r>
        <w:rPr>
          <w:rFonts w:hint="eastAsia" w:eastAsia="仿宋_GB2312"/>
          <w:sz w:val="32"/>
          <w:szCs w:val="32"/>
          <w:u w:val="none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决定</w:t>
      </w:r>
      <w:r>
        <w:rPr>
          <w:rFonts w:hint="eastAsia" w:eastAsia="仿宋_GB2312"/>
          <w:sz w:val="32"/>
          <w:szCs w:val="32"/>
          <w:u w:val="none"/>
        </w:rPr>
        <w:t>对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福州市台江区xxx体育文化传播有限公司</w:t>
      </w:r>
      <w:r>
        <w:rPr>
          <w:rFonts w:hint="eastAsia" w:eastAsia="仿宋_GB2312"/>
          <w:sz w:val="32"/>
          <w:szCs w:val="32"/>
          <w:u w:val="none"/>
        </w:rPr>
        <w:t>作出如下行政处罚：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处以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伍仟元(5000元)罚款。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罚款自收到本决定书之日起15日内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通过本机关开具的</w:t>
      </w:r>
      <w:r>
        <w:rPr>
          <w:rFonts w:hint="eastAsia" w:ascii="仿宋" w:hAnsi="仿宋" w:eastAsia="仿宋" w:cs="仿宋_GB2312"/>
          <w:b/>
          <w:bCs w:val="0"/>
          <w:kern w:val="0"/>
          <w:sz w:val="32"/>
          <w:szCs w:val="32"/>
          <w:u w:val="non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缴纳罚款，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到期不缴每日按罚款数额的3%加处罚款。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如果不服本处罚决定，可以依法在60日内向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台江区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人民政府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申请行政复议，或者在六个月内依法向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晋安区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人民法院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left"/>
        <w:rPr>
          <w:rFonts w:hint="default" w:ascii="仿宋" w:hAnsi="仿宋" w:eastAsia="仿宋" w:cs="仿宋_GB2312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</w:rPr>
        <w:t>体育行政管理部门地址：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none"/>
        </w:rPr>
        <w:t>福州市台江区学军路92号100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none"/>
          <w:lang w:val="en-US" w:eastAsia="zh-CN"/>
        </w:rPr>
        <w:t xml:space="preserve">1室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left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</w:rPr>
        <w:t>联系人：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none"/>
          <w:lang w:val="en-US" w:eastAsia="zh-CN"/>
        </w:rPr>
        <w:t>林x、唐xx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none"/>
        </w:rPr>
        <w:t xml:space="preserve">  联系电话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none"/>
        </w:rPr>
        <w:t>0591-83251196</w:t>
      </w:r>
      <w:r>
        <w:rPr>
          <w:rFonts w:hint="eastAsia" w:eastAsia="仿宋_GB2312"/>
          <w:sz w:val="32"/>
          <w:szCs w:val="32"/>
          <w:u w:val="none"/>
        </w:rPr>
        <w:t xml:space="preserve">  邮编：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350004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left"/>
        <w:rPr>
          <w:rFonts w:hint="eastAsia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right="-32" w:rightChars="0"/>
        <w:jc w:val="right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6100"/>
        </w:tabs>
        <w:kinsoku/>
        <w:wordWrap/>
        <w:overflowPunct/>
        <w:autoSpaceDE/>
        <w:autoSpaceDN/>
        <w:bidi w:val="0"/>
        <w:adjustRightInd/>
        <w:snapToGrid/>
        <w:spacing w:line="240" w:lineRule="auto"/>
        <w:rPr>
          <w:sz w:val="32"/>
          <w:szCs w:val="32"/>
          <w:u w:val="none"/>
        </w:rPr>
      </w:pPr>
      <w:r>
        <w:rPr>
          <w:rFonts w:hint="default" w:ascii="仿宋_GB2312" w:eastAsia="仿宋_GB2312"/>
          <w:sz w:val="32"/>
          <w:szCs w:val="32"/>
          <w:u w:val="none"/>
          <w:lang w:val="en-GB" w:eastAsia="zh-CN"/>
        </w:rPr>
        <w:tab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default" w:ascii="仿宋_GB2312" w:eastAsia="仿宋_GB2312"/>
          <w:sz w:val="32"/>
          <w:szCs w:val="32"/>
          <w:u w:val="none"/>
          <w:lang w:val="en-GB" w:eastAsia="zh-CN"/>
        </w:rPr>
        <w:t>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0" w:lineRule="exact"/>
      <w:ind w:firstLine="210" w:firstLineChars="100"/>
      <w:rPr>
        <w:rFonts w:ascii="仿宋_GB2312" w:eastAsia="仿宋_GB2312"/>
        <w:szCs w:val="21"/>
      </w:rPr>
    </w:pPr>
  </w:p>
  <w:p>
    <w:pPr>
      <w:spacing w:line="200" w:lineRule="exact"/>
      <w:ind w:firstLine="240" w:firstLineChars="100"/>
      <w:rPr>
        <w:rFonts w:eastAsia="仿宋_GB2312"/>
        <w:szCs w:val="21"/>
      </w:rPr>
    </w:pPr>
    <w:r>
      <w:rPr>
        <w:rFonts w:eastAsia="仿宋_GB2312"/>
        <w:sz w:val="24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5486400" cy="0"/>
              <wp:effectExtent l="0" t="9525" r="0" b="9525"/>
              <wp:wrapNone/>
              <wp:docPr id="1" name="直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4" o:spid="_x0000_s1026" o:spt="20" style="position:absolute;left:0pt;margin-left:0pt;margin-top:0.8pt;height:0pt;width:432pt;z-index:251659264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JTZXInNAQAAjwMAAA4AAABkcnMvZTJvRG9jLnhtbK1TS44TMRDdI3EH&#10;y3vSnSgzGlrpzGLCsEEQCThAxZ9uS/7J5UknZ+EarNhwnLkGZSeT4bNBiCycsqv8/N6r6tXtwVm2&#10;VwlN8D2fz1rOlBdBGj/0/POn+1c3nGEGL8EGr3p+VMhv1y9frKbYqUUYg5UqMQLx2E2x52POsWsa&#10;FKNygLMQlaekDslBpm0aGplgInRnm0XbXjdTSDKmIBQinW5OSb6u+ForkT9ojSoz23Piluua6ror&#10;a7NeQTckiKMRZxrwDywcGE+PXqA2kIE9JPMHlDMiBQw6z0RwTdDaCFU1kJp5+5uajyNEVbWQORgv&#10;NuH/gxXv99vEjKTecebBUYsev3x9/PadLZbFnCliRzV3fpvOO4zbVJQedHLlnzSwQzX0eDFUHTIT&#10;dHi1vLletuS7eMo1zxdjwvxWBcdK0HNrfNEKHezfYabHqPSppBxbzyZi+bq9KnhAs6ItZApdJPbo&#10;h3oZgzXy3lhbrmAadnc2sT2U7tdf0UTAv5SVVzaA46mupk5zMSqQb7xk+RjJF08DzAsHpyRnVtG8&#10;l4gAoctg7N9U0tPWE4Ni68nIEu2CPFIXHmIyw0hWzCvLkqGuV77nCS1j9fO+Ij1/R+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knY5dAAAAAEAQAADwAAAAAAAAABACAAAAAiAAAAZHJzL2Rvd25y&#10;ZXYueG1sUEsBAhQAFAAAAAgAh07iQJTZXInNAQAAjwMAAA4AAAAAAAAAAQAgAAAAHwEAAGRycy9l&#10;Mm9Eb2MueG1sUEsFBgAAAAAGAAYAWQEAAF4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2"/>
    </w:pPr>
    <w:r>
      <w:rPr>
        <w:rFonts w:hint="eastAsia" w:eastAsia="仿宋_GB2312"/>
        <w:szCs w:val="21"/>
      </w:rPr>
      <w:t>本文书一式两份：一份由体育行政管理部门备案，一份交拟处罚当事人。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WI1MzY3MTAxMjQzOTEyYTU3OGI3NDdlOGEyNDMifQ=="/>
  </w:docVars>
  <w:rsids>
    <w:rsidRoot w:val="743762ED"/>
    <w:rsid w:val="024C60BA"/>
    <w:rsid w:val="03DE0E97"/>
    <w:rsid w:val="06D64860"/>
    <w:rsid w:val="09563B8E"/>
    <w:rsid w:val="172836D1"/>
    <w:rsid w:val="1AE34B98"/>
    <w:rsid w:val="210E7DC4"/>
    <w:rsid w:val="21112BAB"/>
    <w:rsid w:val="360F7B27"/>
    <w:rsid w:val="37024572"/>
    <w:rsid w:val="39E45F74"/>
    <w:rsid w:val="46CD03D6"/>
    <w:rsid w:val="49F33375"/>
    <w:rsid w:val="4BA34B8C"/>
    <w:rsid w:val="4BDA5588"/>
    <w:rsid w:val="53651F10"/>
    <w:rsid w:val="54AF3178"/>
    <w:rsid w:val="552A4BDC"/>
    <w:rsid w:val="605A2A33"/>
    <w:rsid w:val="619B7808"/>
    <w:rsid w:val="6D4D6DA2"/>
    <w:rsid w:val="743762ED"/>
    <w:rsid w:val="74C819A3"/>
    <w:rsid w:val="760E74E2"/>
    <w:rsid w:val="791C6165"/>
    <w:rsid w:val="7B2032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1540</Characters>
  <Lines>0</Lines>
  <Paragraphs>0</Paragraphs>
  <ScaleCrop>false</ScaleCrop>
  <LinksUpToDate>false</LinksUpToDate>
  <CharactersWithSpaces>1546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2022-07-04T07:38:00Z</dcterms:created>
  <dc:creator>Michael_Lioy</dc:creator>
  <cp:lastModifiedBy>未定义</cp:lastModifiedBy>
  <cp:lastPrinted>2022-07-06T02:33:00Z</cp:lastPrinted>
  <dcterms:modified xsi:type="dcterms:W3CDTF">2022-07-21T08:37:53Z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36D6D39CE4294AB5AFBD01795CE4F85D</vt:lpwstr>
  </property>
</Properties>
</file>